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29DD" w:rsidRDefault="00306067" w:rsidP="002F29DD">
      <w:pPr>
        <w:jc w:val="right"/>
        <w:rPr>
          <w:rFonts w:cs="Arial"/>
          <w:b/>
          <w:sz w:val="48"/>
          <w:szCs w:val="48"/>
        </w:rPr>
      </w:pPr>
      <w:bookmarkStart w:id="0" w:name="_Toc153189646"/>
      <w:r>
        <w:rPr>
          <w:rFonts w:cs="Arial"/>
          <w:b/>
          <w:sz w:val="48"/>
          <w:szCs w:val="48"/>
        </w:rPr>
        <w:t>Workp</w:t>
      </w:r>
      <w:r w:rsidR="002F29DD" w:rsidRPr="00E47372">
        <w:rPr>
          <w:rFonts w:cs="Arial"/>
          <w:b/>
          <w:sz w:val="48"/>
          <w:szCs w:val="48"/>
        </w:rPr>
        <w:t xml:space="preserve">aper </w:t>
      </w:r>
      <w:bookmarkEnd w:id="0"/>
      <w:r w:rsidR="002F29DD">
        <w:rPr>
          <w:rFonts w:cs="Arial"/>
          <w:b/>
          <w:sz w:val="48"/>
          <w:szCs w:val="48"/>
        </w:rPr>
        <w:t>WP</w:t>
      </w:r>
      <w:r>
        <w:rPr>
          <w:rFonts w:cs="Arial"/>
          <w:b/>
          <w:sz w:val="48"/>
          <w:szCs w:val="48"/>
        </w:rPr>
        <w:t>SCG</w:t>
      </w:r>
      <w:r w:rsidR="00763A37">
        <w:rPr>
          <w:rFonts w:cs="Arial"/>
          <w:b/>
          <w:sz w:val="48"/>
          <w:szCs w:val="48"/>
        </w:rPr>
        <w:t>REHC130115</w:t>
      </w:r>
      <w:r w:rsidR="002F29DD" w:rsidRPr="009260B9">
        <w:rPr>
          <w:rFonts w:cs="Arial"/>
          <w:b/>
          <w:sz w:val="48"/>
          <w:szCs w:val="48"/>
        </w:rPr>
        <w:t>A</w:t>
      </w:r>
    </w:p>
    <w:p w:rsidR="002F29DD" w:rsidRDefault="002F29DD" w:rsidP="002F29DD">
      <w:pPr>
        <w:jc w:val="right"/>
        <w:rPr>
          <w:rFonts w:cs="Arial"/>
          <w:b/>
          <w:sz w:val="48"/>
          <w:szCs w:val="48"/>
        </w:rPr>
      </w:pPr>
      <w:bookmarkStart w:id="1" w:name="_Toc153189647"/>
      <w:r w:rsidRPr="00E47372">
        <w:rPr>
          <w:rFonts w:cs="Arial"/>
          <w:b/>
          <w:sz w:val="48"/>
          <w:szCs w:val="48"/>
        </w:rPr>
        <w:t xml:space="preserve">Revision </w:t>
      </w:r>
      <w:bookmarkEnd w:id="1"/>
      <w:r w:rsidR="00D12120">
        <w:rPr>
          <w:rFonts w:cs="Arial"/>
          <w:b/>
          <w:sz w:val="48"/>
          <w:szCs w:val="48"/>
        </w:rPr>
        <w:t>0</w:t>
      </w:r>
      <w:r w:rsidR="00705B85">
        <w:rPr>
          <w:rFonts w:cs="Arial"/>
          <w:b/>
          <w:sz w:val="48"/>
          <w:szCs w:val="48"/>
        </w:rPr>
        <w:t>4</w:t>
      </w:r>
    </w:p>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Pr>
        <w:pBdr>
          <w:bottom w:val="single" w:sz="4" w:space="1" w:color="auto"/>
        </w:pBdr>
        <w:rPr>
          <w:rFonts w:cs="Arial"/>
          <w:b/>
          <w:sz w:val="36"/>
          <w:szCs w:val="36"/>
        </w:rPr>
      </w:pPr>
      <w:r>
        <w:rPr>
          <w:rFonts w:cs="Arial"/>
          <w:b/>
          <w:sz w:val="36"/>
          <w:szCs w:val="36"/>
        </w:rPr>
        <w:t>Southern California Gas Company</w:t>
      </w:r>
    </w:p>
    <w:p w:rsidR="002F29DD" w:rsidRDefault="002F29DD" w:rsidP="002F29DD">
      <w:pPr>
        <w:rPr>
          <w:rFonts w:cs="Arial"/>
          <w:b/>
          <w:sz w:val="32"/>
          <w:szCs w:val="32"/>
        </w:rPr>
      </w:pPr>
      <w:r>
        <w:rPr>
          <w:rFonts w:cs="Arial"/>
          <w:b/>
          <w:sz w:val="32"/>
          <w:szCs w:val="32"/>
        </w:rPr>
        <w:t>Customer Programs Department</w:t>
      </w:r>
    </w:p>
    <w:p w:rsidR="002F29DD" w:rsidRDefault="002F29DD" w:rsidP="002F29DD">
      <w:pPr>
        <w:tabs>
          <w:tab w:val="left" w:pos="6480"/>
          <w:tab w:val="left" w:pos="8100"/>
        </w:tabs>
        <w:ind w:right="-4"/>
        <w:rPr>
          <w:rFonts w:cs="Arial"/>
          <w:b/>
          <w:sz w:val="32"/>
          <w:szCs w:val="32"/>
        </w:rPr>
      </w:pPr>
    </w:p>
    <w:p w:rsidR="002F29DD" w:rsidRDefault="002F29DD" w:rsidP="002F29DD">
      <w:pPr>
        <w:tabs>
          <w:tab w:val="left" w:pos="6480"/>
          <w:tab w:val="left" w:pos="8100"/>
        </w:tabs>
        <w:ind w:right="-4"/>
        <w:rPr>
          <w:rFonts w:cs="Arial"/>
          <w:b/>
          <w:sz w:val="32"/>
          <w:szCs w:val="32"/>
        </w:rPr>
      </w:pPr>
    </w:p>
    <w:p w:rsidR="002F29DD" w:rsidRDefault="002F29DD" w:rsidP="002F29DD">
      <w:pPr>
        <w:tabs>
          <w:tab w:val="left" w:pos="6480"/>
          <w:tab w:val="left" w:pos="8100"/>
        </w:tabs>
        <w:ind w:right="-4"/>
        <w:rPr>
          <w:rFonts w:cs="Arial"/>
          <w:b/>
          <w:sz w:val="32"/>
          <w:szCs w:val="32"/>
        </w:rPr>
      </w:pPr>
    </w:p>
    <w:p w:rsidR="005C4D98" w:rsidRDefault="00763A37" w:rsidP="002F29DD">
      <w:pPr>
        <w:rPr>
          <w:rFonts w:cs="Arial"/>
          <w:b/>
          <w:sz w:val="48"/>
          <w:szCs w:val="48"/>
        </w:rPr>
      </w:pPr>
      <w:r>
        <w:rPr>
          <w:rFonts w:cs="Arial"/>
          <w:b/>
          <w:sz w:val="48"/>
          <w:szCs w:val="48"/>
        </w:rPr>
        <w:t>High Efficiency Furnace</w:t>
      </w:r>
      <w:r w:rsidR="00D86BAF">
        <w:rPr>
          <w:rFonts w:cs="Arial"/>
          <w:b/>
          <w:sz w:val="48"/>
          <w:szCs w:val="48"/>
        </w:rPr>
        <w:t>s</w:t>
      </w:r>
      <w:r>
        <w:rPr>
          <w:rFonts w:cs="Arial"/>
          <w:b/>
          <w:sz w:val="48"/>
          <w:szCs w:val="48"/>
        </w:rPr>
        <w:t xml:space="preserve"> </w:t>
      </w:r>
      <w:r w:rsidR="003C280E">
        <w:rPr>
          <w:rFonts w:cs="Arial"/>
          <w:b/>
          <w:sz w:val="48"/>
          <w:szCs w:val="48"/>
        </w:rPr>
        <w:t xml:space="preserve">92 AFUE (1.08 HIR), </w:t>
      </w:r>
      <w:r w:rsidR="009C314C">
        <w:rPr>
          <w:rFonts w:cs="Arial"/>
          <w:b/>
          <w:sz w:val="48"/>
          <w:szCs w:val="48"/>
        </w:rPr>
        <w:t xml:space="preserve">95 AFUE </w:t>
      </w:r>
      <w:r w:rsidR="00877B4F">
        <w:rPr>
          <w:rFonts w:cs="Arial"/>
          <w:b/>
          <w:sz w:val="48"/>
          <w:szCs w:val="48"/>
        </w:rPr>
        <w:t>(1.05 HIR)</w:t>
      </w:r>
      <w:r w:rsidR="00FB20AA">
        <w:rPr>
          <w:rFonts w:cs="Arial"/>
          <w:b/>
          <w:sz w:val="48"/>
          <w:szCs w:val="48"/>
        </w:rPr>
        <w:t>, 96 AFUE (1.04 HIR),</w:t>
      </w:r>
      <w:r w:rsidR="00877B4F">
        <w:rPr>
          <w:rFonts w:cs="Arial"/>
          <w:b/>
          <w:sz w:val="48"/>
          <w:szCs w:val="48"/>
        </w:rPr>
        <w:t xml:space="preserve"> </w:t>
      </w:r>
      <w:r w:rsidR="009C314C">
        <w:rPr>
          <w:rFonts w:cs="Arial"/>
          <w:b/>
          <w:sz w:val="48"/>
          <w:szCs w:val="48"/>
        </w:rPr>
        <w:t>and 97 AFUE</w:t>
      </w:r>
      <w:r w:rsidR="00877B4F">
        <w:rPr>
          <w:rFonts w:cs="Arial"/>
          <w:b/>
          <w:sz w:val="48"/>
          <w:szCs w:val="48"/>
        </w:rPr>
        <w:t xml:space="preserve"> (1.03 HIR) </w:t>
      </w:r>
    </w:p>
    <w:p w:rsidR="002F29DD" w:rsidRPr="0043456C" w:rsidRDefault="00763A37" w:rsidP="002F29DD">
      <w:pPr>
        <w:rPr>
          <w:rFonts w:cs="Arial"/>
          <w:b/>
          <w:sz w:val="48"/>
          <w:szCs w:val="48"/>
        </w:rPr>
      </w:pPr>
      <w:r>
        <w:rPr>
          <w:rFonts w:cs="Arial"/>
          <w:b/>
          <w:sz w:val="48"/>
          <w:szCs w:val="48"/>
        </w:rPr>
        <w:t>- Residential</w:t>
      </w:r>
    </w:p>
    <w:p w:rsidR="00E97D72" w:rsidRDefault="00E97D72" w:rsidP="002F29DD">
      <w:pPr>
        <w:pStyle w:val="Normal1"/>
        <w:sectPr w:rsidR="00E97D72" w:rsidSect="00A826F3">
          <w:footerReference w:type="even" r:id="rId8"/>
          <w:footerReference w:type="default" r:id="rId9"/>
          <w:footerReference w:type="first" r:id="rId10"/>
          <w:endnotePr>
            <w:numFmt w:val="decimal"/>
          </w:endnotePr>
          <w:pgSz w:w="12240" w:h="15840" w:code="1"/>
          <w:pgMar w:top="1440" w:right="1440" w:bottom="1440" w:left="1440" w:header="720" w:footer="720" w:gutter="0"/>
          <w:pgNumType w:fmt="lowerRoman" w:start="1"/>
          <w:cols w:space="720"/>
          <w:titlePg/>
          <w:docGrid w:linePitch="360"/>
        </w:sectPr>
      </w:pPr>
    </w:p>
    <w:p w:rsidR="002F29DD" w:rsidRDefault="002F29DD" w:rsidP="002F29DD">
      <w:pPr>
        <w:pStyle w:val="Pref"/>
      </w:pPr>
      <w:bookmarkStart w:id="2" w:name="_Toc357762651"/>
      <w:r>
        <w:lastRenderedPageBreak/>
        <w:t>Revision History</w:t>
      </w:r>
      <w:bookmarkEnd w:id="2"/>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5"/>
        <w:gridCol w:w="1620"/>
        <w:gridCol w:w="4680"/>
        <w:gridCol w:w="2000"/>
      </w:tblGrid>
      <w:tr w:rsidR="002F29DD" w:rsidTr="00CA5F39">
        <w:tc>
          <w:tcPr>
            <w:tcW w:w="905" w:type="dxa"/>
            <w:shd w:val="clear" w:color="auto" w:fill="D9D9D9"/>
            <w:vAlign w:val="center"/>
          </w:tcPr>
          <w:p w:rsidR="002F29DD" w:rsidRDefault="002F29DD" w:rsidP="003F2BB3">
            <w:pPr>
              <w:pStyle w:val="NormalBold"/>
              <w:spacing w:after="0"/>
              <w:jc w:val="center"/>
              <w:rPr>
                <w:rFonts w:ascii="Arial" w:hAnsi="Arial" w:cs="Arial"/>
                <w:sz w:val="18"/>
              </w:rPr>
            </w:pPr>
            <w:r>
              <w:rPr>
                <w:rFonts w:ascii="Arial" w:hAnsi="Arial" w:cs="Arial"/>
                <w:sz w:val="18"/>
              </w:rPr>
              <w:t>Revision No.</w:t>
            </w:r>
          </w:p>
        </w:tc>
        <w:tc>
          <w:tcPr>
            <w:tcW w:w="1620" w:type="dxa"/>
            <w:shd w:val="clear" w:color="auto" w:fill="D9D9D9"/>
            <w:vAlign w:val="center"/>
          </w:tcPr>
          <w:p w:rsidR="002F29DD" w:rsidRDefault="002F29DD" w:rsidP="003F2BB3">
            <w:pPr>
              <w:pStyle w:val="CommentSubject"/>
              <w:rPr>
                <w:rFonts w:ascii="Arial" w:hAnsi="Arial" w:cs="Arial"/>
                <w:bCs w:val="0"/>
                <w:sz w:val="18"/>
                <w:szCs w:val="24"/>
              </w:rPr>
            </w:pPr>
            <w:r>
              <w:rPr>
                <w:rFonts w:ascii="Arial" w:hAnsi="Arial" w:cs="Arial"/>
                <w:bCs w:val="0"/>
                <w:sz w:val="18"/>
                <w:szCs w:val="24"/>
              </w:rPr>
              <w:t>Date</w:t>
            </w:r>
          </w:p>
        </w:tc>
        <w:tc>
          <w:tcPr>
            <w:tcW w:w="4680" w:type="dxa"/>
            <w:shd w:val="clear" w:color="auto" w:fill="D9D9D9"/>
            <w:vAlign w:val="center"/>
          </w:tcPr>
          <w:p w:rsidR="002F29DD" w:rsidRDefault="002F29DD" w:rsidP="003F2BB3">
            <w:pPr>
              <w:rPr>
                <w:rFonts w:cs="Arial"/>
                <w:b/>
                <w:sz w:val="18"/>
              </w:rPr>
            </w:pPr>
            <w:r>
              <w:rPr>
                <w:rFonts w:cs="Arial"/>
                <w:b/>
                <w:sz w:val="18"/>
              </w:rPr>
              <w:t>Description</w:t>
            </w:r>
          </w:p>
        </w:tc>
        <w:tc>
          <w:tcPr>
            <w:tcW w:w="2000" w:type="dxa"/>
            <w:shd w:val="clear" w:color="auto" w:fill="D9D9D9"/>
            <w:vAlign w:val="center"/>
          </w:tcPr>
          <w:p w:rsidR="002F29DD" w:rsidRDefault="002F29DD" w:rsidP="003F2BB3">
            <w:pPr>
              <w:spacing w:after="120"/>
              <w:jc w:val="both"/>
              <w:rPr>
                <w:rFonts w:cs="Arial"/>
                <w:b/>
                <w:sz w:val="18"/>
                <w:szCs w:val="18"/>
              </w:rPr>
            </w:pPr>
            <w:r>
              <w:rPr>
                <w:rFonts w:cs="Arial"/>
                <w:b/>
                <w:sz w:val="18"/>
                <w:szCs w:val="18"/>
              </w:rPr>
              <w:t>Author</w:t>
            </w:r>
          </w:p>
        </w:tc>
      </w:tr>
      <w:tr w:rsidR="002F29DD" w:rsidTr="00CA5F39">
        <w:trPr>
          <w:trHeight w:val="341"/>
        </w:trPr>
        <w:tc>
          <w:tcPr>
            <w:tcW w:w="905" w:type="dxa"/>
            <w:vAlign w:val="center"/>
          </w:tcPr>
          <w:p w:rsidR="002F29DD" w:rsidRPr="00224257" w:rsidRDefault="00C735F4" w:rsidP="00CA5F39">
            <w:pPr>
              <w:jc w:val="center"/>
              <w:rPr>
                <w:rFonts w:cs="Arial"/>
                <w:bCs/>
                <w:sz w:val="18"/>
              </w:rPr>
            </w:pPr>
            <w:r>
              <w:rPr>
                <w:rFonts w:cs="Arial"/>
                <w:bCs/>
                <w:sz w:val="18"/>
              </w:rPr>
              <w:t>0</w:t>
            </w:r>
          </w:p>
        </w:tc>
        <w:tc>
          <w:tcPr>
            <w:tcW w:w="1620" w:type="dxa"/>
            <w:vAlign w:val="center"/>
          </w:tcPr>
          <w:p w:rsidR="002F29DD" w:rsidRPr="00224257" w:rsidRDefault="00735288" w:rsidP="00CA5F39">
            <w:pPr>
              <w:jc w:val="center"/>
              <w:rPr>
                <w:rFonts w:cs="Arial"/>
                <w:bCs/>
                <w:sz w:val="18"/>
              </w:rPr>
            </w:pPr>
            <w:r>
              <w:rPr>
                <w:rFonts w:cs="Arial"/>
                <w:bCs/>
                <w:sz w:val="18"/>
              </w:rPr>
              <w:t>January 25</w:t>
            </w:r>
            <w:r w:rsidR="00202F0F">
              <w:rPr>
                <w:rFonts w:cs="Arial"/>
                <w:bCs/>
                <w:sz w:val="18"/>
              </w:rPr>
              <w:t>, 201</w:t>
            </w:r>
            <w:r>
              <w:rPr>
                <w:rFonts w:cs="Arial"/>
                <w:bCs/>
                <w:sz w:val="18"/>
              </w:rPr>
              <w:t>3</w:t>
            </w:r>
          </w:p>
        </w:tc>
        <w:tc>
          <w:tcPr>
            <w:tcW w:w="4680" w:type="dxa"/>
          </w:tcPr>
          <w:p w:rsidR="002F29DD" w:rsidRPr="00224257" w:rsidRDefault="00C735F4" w:rsidP="00CA5F39">
            <w:pPr>
              <w:rPr>
                <w:rFonts w:cs="Arial"/>
                <w:bCs/>
                <w:sz w:val="18"/>
              </w:rPr>
            </w:pPr>
            <w:r>
              <w:rPr>
                <w:rFonts w:cs="Arial"/>
                <w:bCs/>
                <w:sz w:val="18"/>
              </w:rPr>
              <w:t>Original release</w:t>
            </w:r>
          </w:p>
        </w:tc>
        <w:tc>
          <w:tcPr>
            <w:tcW w:w="2000" w:type="dxa"/>
            <w:vAlign w:val="center"/>
          </w:tcPr>
          <w:p w:rsidR="002F29DD" w:rsidRDefault="00C735F4" w:rsidP="00CA5F39">
            <w:pPr>
              <w:jc w:val="center"/>
              <w:rPr>
                <w:rFonts w:cs="Arial"/>
                <w:sz w:val="18"/>
                <w:szCs w:val="18"/>
              </w:rPr>
            </w:pPr>
            <w:r>
              <w:rPr>
                <w:rFonts w:cs="Arial"/>
                <w:sz w:val="18"/>
                <w:szCs w:val="18"/>
              </w:rPr>
              <w:t>Kyle Dunn (MWE2)</w:t>
            </w:r>
          </w:p>
        </w:tc>
      </w:tr>
      <w:tr w:rsidR="003B3A3A" w:rsidTr="00CA5F39">
        <w:tc>
          <w:tcPr>
            <w:tcW w:w="905" w:type="dxa"/>
            <w:vAlign w:val="center"/>
          </w:tcPr>
          <w:p w:rsidR="003B3A3A" w:rsidRDefault="00404B94" w:rsidP="00CA5F39">
            <w:pPr>
              <w:jc w:val="center"/>
              <w:rPr>
                <w:rFonts w:cs="Arial"/>
                <w:bCs/>
                <w:sz w:val="18"/>
              </w:rPr>
            </w:pPr>
            <w:r>
              <w:rPr>
                <w:rFonts w:cs="Arial"/>
                <w:bCs/>
                <w:sz w:val="18"/>
              </w:rPr>
              <w:t>0</w:t>
            </w:r>
            <w:r w:rsidR="003B3A3A">
              <w:rPr>
                <w:rFonts w:cs="Arial"/>
                <w:bCs/>
                <w:sz w:val="18"/>
              </w:rPr>
              <w:t>1</w:t>
            </w:r>
          </w:p>
        </w:tc>
        <w:tc>
          <w:tcPr>
            <w:tcW w:w="1620" w:type="dxa"/>
            <w:vAlign w:val="center"/>
          </w:tcPr>
          <w:p w:rsidR="003B3A3A" w:rsidRDefault="003B3A3A" w:rsidP="00CA5F39">
            <w:pPr>
              <w:jc w:val="center"/>
              <w:rPr>
                <w:rFonts w:cs="Arial"/>
                <w:bCs/>
                <w:sz w:val="18"/>
              </w:rPr>
            </w:pPr>
            <w:r>
              <w:rPr>
                <w:rFonts w:cs="Arial"/>
                <w:bCs/>
                <w:sz w:val="18"/>
              </w:rPr>
              <w:t>June 23, 2013</w:t>
            </w:r>
          </w:p>
        </w:tc>
        <w:tc>
          <w:tcPr>
            <w:tcW w:w="4680" w:type="dxa"/>
          </w:tcPr>
          <w:p w:rsidR="003B3A3A" w:rsidRPr="00DF6BB9" w:rsidRDefault="00DF6BB9" w:rsidP="00CA5F39">
            <w:r>
              <w:t>Revised to include 92 and 97 AFUE furnaces, to use 80% AFUE for baseline furnaces, to use NTG of 0.7 for 95 and 97 AFUE furnaces, to include savings for all climate zones, and to use weighted average for SCG climate zones</w:t>
            </w:r>
          </w:p>
        </w:tc>
        <w:tc>
          <w:tcPr>
            <w:tcW w:w="2000" w:type="dxa"/>
            <w:vAlign w:val="center"/>
          </w:tcPr>
          <w:p w:rsidR="003B3A3A" w:rsidRDefault="003B3A3A" w:rsidP="00CA5F39">
            <w:pPr>
              <w:jc w:val="center"/>
              <w:rPr>
                <w:rFonts w:cs="Arial"/>
                <w:sz w:val="18"/>
                <w:szCs w:val="18"/>
              </w:rPr>
            </w:pPr>
            <w:r>
              <w:rPr>
                <w:rFonts w:cs="Arial"/>
                <w:sz w:val="18"/>
                <w:szCs w:val="18"/>
              </w:rPr>
              <w:t>Kyle Dunn (MWE2)</w:t>
            </w:r>
            <w:r w:rsidR="00DF6BB9">
              <w:rPr>
                <w:rFonts w:cs="Arial"/>
                <w:sz w:val="18"/>
                <w:szCs w:val="18"/>
              </w:rPr>
              <w:t xml:space="preserve"> and Phillip Hasley (Hasley Consulting)</w:t>
            </w:r>
          </w:p>
        </w:tc>
      </w:tr>
      <w:tr w:rsidR="00890148" w:rsidTr="00CA5F39">
        <w:tc>
          <w:tcPr>
            <w:tcW w:w="905" w:type="dxa"/>
            <w:vAlign w:val="center"/>
          </w:tcPr>
          <w:p w:rsidR="00890148" w:rsidRDefault="00404B94" w:rsidP="00CA5F39">
            <w:pPr>
              <w:jc w:val="center"/>
              <w:rPr>
                <w:rFonts w:cs="Arial"/>
                <w:bCs/>
                <w:sz w:val="18"/>
              </w:rPr>
            </w:pPr>
            <w:r>
              <w:rPr>
                <w:rFonts w:cs="Arial"/>
                <w:bCs/>
                <w:sz w:val="18"/>
              </w:rPr>
              <w:t>0</w:t>
            </w:r>
            <w:r w:rsidR="00890148">
              <w:rPr>
                <w:rFonts w:cs="Arial"/>
                <w:bCs/>
                <w:sz w:val="18"/>
              </w:rPr>
              <w:t>2</w:t>
            </w:r>
          </w:p>
        </w:tc>
        <w:tc>
          <w:tcPr>
            <w:tcW w:w="1620" w:type="dxa"/>
            <w:vAlign w:val="center"/>
          </w:tcPr>
          <w:p w:rsidR="00890148" w:rsidRDefault="00890148" w:rsidP="00CA5F39">
            <w:pPr>
              <w:jc w:val="center"/>
              <w:rPr>
                <w:rFonts w:cs="Arial"/>
                <w:bCs/>
                <w:sz w:val="18"/>
              </w:rPr>
            </w:pPr>
            <w:r>
              <w:rPr>
                <w:rFonts w:cs="Arial"/>
                <w:bCs/>
                <w:sz w:val="18"/>
              </w:rPr>
              <w:t>December 6, 201</w:t>
            </w:r>
            <w:r w:rsidR="002A3ED7">
              <w:rPr>
                <w:rFonts w:cs="Arial"/>
                <w:bCs/>
                <w:sz w:val="18"/>
              </w:rPr>
              <w:t>3</w:t>
            </w:r>
          </w:p>
        </w:tc>
        <w:tc>
          <w:tcPr>
            <w:tcW w:w="4680" w:type="dxa"/>
          </w:tcPr>
          <w:p w:rsidR="00890148" w:rsidRDefault="00890148" w:rsidP="00CA5F39">
            <w:r>
              <w:t>-Updated per DEER 2014 database</w:t>
            </w:r>
          </w:p>
          <w:p w:rsidR="00890148" w:rsidRDefault="00890148" w:rsidP="00CA5F39">
            <w:r>
              <w:t>-Removed weighted average for SCG climate zones to use DEER values instead.</w:t>
            </w:r>
          </w:p>
        </w:tc>
        <w:tc>
          <w:tcPr>
            <w:tcW w:w="2000" w:type="dxa"/>
            <w:vAlign w:val="center"/>
          </w:tcPr>
          <w:p w:rsidR="00890148" w:rsidRDefault="00890148" w:rsidP="00CA5F39">
            <w:pPr>
              <w:jc w:val="center"/>
              <w:rPr>
                <w:rFonts w:cs="Arial"/>
                <w:sz w:val="18"/>
                <w:szCs w:val="18"/>
              </w:rPr>
            </w:pPr>
            <w:r>
              <w:rPr>
                <w:rFonts w:cs="Arial"/>
                <w:sz w:val="18"/>
                <w:szCs w:val="18"/>
              </w:rPr>
              <w:t>Miguel Urrea (SCG)</w:t>
            </w:r>
          </w:p>
        </w:tc>
      </w:tr>
      <w:tr w:rsidR="002A3ED7" w:rsidTr="00CA5F39">
        <w:tc>
          <w:tcPr>
            <w:tcW w:w="905" w:type="dxa"/>
            <w:vAlign w:val="center"/>
          </w:tcPr>
          <w:p w:rsidR="002A3ED7" w:rsidRDefault="00404B94" w:rsidP="00CA5F39">
            <w:pPr>
              <w:jc w:val="center"/>
              <w:rPr>
                <w:rFonts w:cs="Arial"/>
                <w:bCs/>
                <w:sz w:val="18"/>
              </w:rPr>
            </w:pPr>
            <w:r>
              <w:rPr>
                <w:rFonts w:cs="Arial"/>
                <w:bCs/>
                <w:sz w:val="18"/>
              </w:rPr>
              <w:t>0</w:t>
            </w:r>
            <w:r w:rsidR="002A3ED7">
              <w:rPr>
                <w:rFonts w:cs="Arial"/>
                <w:bCs/>
                <w:sz w:val="18"/>
              </w:rPr>
              <w:t>3</w:t>
            </w:r>
          </w:p>
        </w:tc>
        <w:tc>
          <w:tcPr>
            <w:tcW w:w="1620" w:type="dxa"/>
            <w:vAlign w:val="center"/>
          </w:tcPr>
          <w:p w:rsidR="002A3ED7" w:rsidRDefault="002A3ED7" w:rsidP="00CA5F39">
            <w:pPr>
              <w:jc w:val="center"/>
              <w:rPr>
                <w:rFonts w:cs="Arial"/>
                <w:bCs/>
                <w:sz w:val="18"/>
              </w:rPr>
            </w:pPr>
            <w:r>
              <w:rPr>
                <w:rFonts w:cs="Arial"/>
                <w:bCs/>
                <w:sz w:val="18"/>
              </w:rPr>
              <w:t xml:space="preserve">April </w:t>
            </w:r>
            <w:r w:rsidR="00CF0E70">
              <w:rPr>
                <w:rFonts w:cs="Arial"/>
                <w:bCs/>
                <w:sz w:val="18"/>
              </w:rPr>
              <w:t>24</w:t>
            </w:r>
            <w:r>
              <w:rPr>
                <w:rFonts w:cs="Arial"/>
                <w:bCs/>
                <w:sz w:val="18"/>
              </w:rPr>
              <w:t>, 2014</w:t>
            </w:r>
          </w:p>
        </w:tc>
        <w:tc>
          <w:tcPr>
            <w:tcW w:w="4680" w:type="dxa"/>
          </w:tcPr>
          <w:p w:rsidR="002A3ED7" w:rsidRDefault="002A3ED7" w:rsidP="00CA5F39">
            <w:r>
              <w:t>Added 96 AFUE Residential Gas Furnace measure and cost data</w:t>
            </w:r>
          </w:p>
        </w:tc>
        <w:tc>
          <w:tcPr>
            <w:tcW w:w="2000" w:type="dxa"/>
            <w:vAlign w:val="center"/>
          </w:tcPr>
          <w:p w:rsidR="002A3ED7" w:rsidRDefault="002A3ED7" w:rsidP="00CA5F39">
            <w:pPr>
              <w:jc w:val="center"/>
              <w:rPr>
                <w:rFonts w:cs="Arial"/>
                <w:sz w:val="18"/>
                <w:szCs w:val="18"/>
              </w:rPr>
            </w:pPr>
            <w:r>
              <w:rPr>
                <w:rFonts w:cs="Arial"/>
                <w:sz w:val="18"/>
                <w:szCs w:val="18"/>
              </w:rPr>
              <w:t>Joseph Pan (SCG)</w:t>
            </w:r>
          </w:p>
        </w:tc>
      </w:tr>
      <w:tr w:rsidR="00CA5F39" w:rsidTr="00CA5F39">
        <w:tc>
          <w:tcPr>
            <w:tcW w:w="905" w:type="dxa"/>
            <w:vAlign w:val="center"/>
          </w:tcPr>
          <w:p w:rsidR="00CA5F39" w:rsidRDefault="00404B94" w:rsidP="00CA5F39">
            <w:pPr>
              <w:jc w:val="center"/>
              <w:rPr>
                <w:rFonts w:cs="Arial"/>
                <w:bCs/>
                <w:sz w:val="18"/>
              </w:rPr>
            </w:pPr>
            <w:r>
              <w:rPr>
                <w:rFonts w:cs="Arial"/>
                <w:bCs/>
                <w:sz w:val="18"/>
              </w:rPr>
              <w:t>0</w:t>
            </w:r>
            <w:r w:rsidR="00CA5F39">
              <w:rPr>
                <w:rFonts w:cs="Arial"/>
                <w:bCs/>
                <w:sz w:val="18"/>
              </w:rPr>
              <w:t>4</w:t>
            </w:r>
          </w:p>
        </w:tc>
        <w:tc>
          <w:tcPr>
            <w:tcW w:w="1620" w:type="dxa"/>
            <w:vAlign w:val="center"/>
          </w:tcPr>
          <w:p w:rsidR="00CA5F39" w:rsidRDefault="00D6536D" w:rsidP="00CA5F39">
            <w:pPr>
              <w:jc w:val="center"/>
              <w:rPr>
                <w:rFonts w:cs="Arial"/>
                <w:bCs/>
                <w:sz w:val="18"/>
              </w:rPr>
            </w:pPr>
            <w:r>
              <w:rPr>
                <w:rFonts w:cs="Arial"/>
                <w:bCs/>
                <w:sz w:val="18"/>
              </w:rPr>
              <w:t>December 28</w:t>
            </w:r>
            <w:r w:rsidR="00E54C3C">
              <w:rPr>
                <w:rFonts w:cs="Arial"/>
                <w:bCs/>
                <w:sz w:val="18"/>
              </w:rPr>
              <w:t>, 2016</w:t>
            </w:r>
          </w:p>
        </w:tc>
        <w:tc>
          <w:tcPr>
            <w:tcW w:w="4680" w:type="dxa"/>
          </w:tcPr>
          <w:p w:rsidR="00F46104" w:rsidRDefault="00CA5F39" w:rsidP="00B07509">
            <w:pPr>
              <w:pStyle w:val="ListParagraph"/>
              <w:numPr>
                <w:ilvl w:val="0"/>
                <w:numId w:val="6"/>
              </w:numPr>
            </w:pPr>
            <w:r>
              <w:t>Updated Gas Savings values from DEER 2017</w:t>
            </w:r>
          </w:p>
          <w:p w:rsidR="00AD0F2D" w:rsidRDefault="00DE7F9A" w:rsidP="00C942B8">
            <w:pPr>
              <w:pStyle w:val="ListParagraph"/>
              <w:numPr>
                <w:ilvl w:val="0"/>
                <w:numId w:val="6"/>
              </w:numPr>
            </w:pPr>
            <w:r>
              <w:t>Adjusted NTG Ratios</w:t>
            </w:r>
            <w:r w:rsidR="00F46104">
              <w:t xml:space="preserve">  due to lifetime of measures</w:t>
            </w:r>
          </w:p>
        </w:tc>
        <w:tc>
          <w:tcPr>
            <w:tcW w:w="2000" w:type="dxa"/>
            <w:vAlign w:val="center"/>
          </w:tcPr>
          <w:p w:rsidR="00CA5F39" w:rsidRDefault="00CA5F39" w:rsidP="00CA5F39">
            <w:pPr>
              <w:jc w:val="center"/>
              <w:rPr>
                <w:rFonts w:cs="Arial"/>
                <w:sz w:val="18"/>
                <w:szCs w:val="18"/>
              </w:rPr>
            </w:pPr>
            <w:r>
              <w:rPr>
                <w:rFonts w:cs="Arial"/>
                <w:sz w:val="18"/>
                <w:szCs w:val="18"/>
              </w:rPr>
              <w:t>Matthew</w:t>
            </w:r>
          </w:p>
          <w:p w:rsidR="00CA5F39" w:rsidRDefault="00CA5F39" w:rsidP="00CA5F39">
            <w:pPr>
              <w:jc w:val="center"/>
              <w:rPr>
                <w:rFonts w:cs="Arial"/>
                <w:sz w:val="18"/>
                <w:szCs w:val="18"/>
              </w:rPr>
            </w:pPr>
            <w:r>
              <w:rPr>
                <w:rFonts w:cs="Arial"/>
                <w:sz w:val="18"/>
                <w:szCs w:val="18"/>
              </w:rPr>
              <w:t>Mendoza (SCG)</w:t>
            </w:r>
          </w:p>
        </w:tc>
      </w:tr>
    </w:tbl>
    <w:p w:rsidR="002F29DD" w:rsidRDefault="002F29DD" w:rsidP="002F29DD">
      <w:pPr>
        <w:spacing w:after="120"/>
        <w:jc w:val="both"/>
        <w:rPr>
          <w:b/>
        </w:rPr>
      </w:pPr>
    </w:p>
    <w:p w:rsidR="002F29DD" w:rsidRDefault="002F29DD" w:rsidP="002F29DD">
      <w:pPr>
        <w:pStyle w:val="Heading1"/>
      </w:pPr>
      <w:bookmarkStart w:id="3" w:name="_Toc184544712"/>
      <w:bookmarkStart w:id="4" w:name="_Toc185161311"/>
    </w:p>
    <w:p w:rsidR="002F29DD" w:rsidRDefault="002F29DD" w:rsidP="002F29DD">
      <w:pPr>
        <w:pStyle w:val="Heading1"/>
        <w:sectPr w:rsidR="002F29DD" w:rsidSect="00A826F3">
          <w:footerReference w:type="default" r:id="rId11"/>
          <w:endnotePr>
            <w:numFmt w:val="decimal"/>
          </w:endnotePr>
          <w:pgSz w:w="12240" w:h="15840" w:code="1"/>
          <w:pgMar w:top="1440" w:right="1440" w:bottom="1440" w:left="1440" w:header="720" w:footer="720" w:gutter="0"/>
          <w:pgNumType w:fmt="lowerRoman" w:start="1"/>
          <w:cols w:space="720"/>
          <w:docGrid w:linePitch="360"/>
        </w:sectPr>
      </w:pPr>
    </w:p>
    <w:p w:rsidR="002F29DD" w:rsidRDefault="002F29DD" w:rsidP="002F29DD">
      <w:pPr>
        <w:pStyle w:val="Pref"/>
      </w:pPr>
      <w:bookmarkStart w:id="5" w:name="_Toc357762652"/>
      <w:r>
        <w:lastRenderedPageBreak/>
        <w:t>Measure Summary Table</w:t>
      </w:r>
      <w:bookmarkEnd w:id="5"/>
    </w:p>
    <w:tbl>
      <w:tblPr>
        <w:tblW w:w="14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12"/>
        <w:gridCol w:w="630"/>
        <w:gridCol w:w="720"/>
        <w:gridCol w:w="652"/>
        <w:gridCol w:w="990"/>
        <w:gridCol w:w="1148"/>
        <w:gridCol w:w="1170"/>
        <w:gridCol w:w="1041"/>
        <w:gridCol w:w="961"/>
        <w:gridCol w:w="900"/>
        <w:gridCol w:w="990"/>
        <w:gridCol w:w="900"/>
        <w:gridCol w:w="900"/>
        <w:gridCol w:w="990"/>
      </w:tblGrid>
      <w:tr w:rsidR="005820A9" w:rsidRPr="001F0D3F" w:rsidTr="001F0D3F">
        <w:trPr>
          <w:trHeight w:val="602"/>
          <w:jc w:val="center"/>
        </w:trPr>
        <w:tc>
          <w:tcPr>
            <w:tcW w:w="2812" w:type="dxa"/>
            <w:shd w:val="clear" w:color="auto" w:fill="C0C0C0"/>
            <w:vAlign w:val="bottom"/>
          </w:tcPr>
          <w:bookmarkEnd w:id="3"/>
          <w:bookmarkEnd w:id="4"/>
          <w:p w:rsidR="005820A9" w:rsidRPr="001F0D3F" w:rsidRDefault="005820A9" w:rsidP="003F2BB3">
            <w:pPr>
              <w:jc w:val="center"/>
              <w:rPr>
                <w:sz w:val="14"/>
                <w:szCs w:val="16"/>
              </w:rPr>
            </w:pPr>
            <w:r w:rsidRPr="001F0D3F">
              <w:rPr>
                <w:sz w:val="14"/>
                <w:szCs w:val="16"/>
              </w:rPr>
              <w:t>Measure Name</w:t>
            </w:r>
          </w:p>
        </w:tc>
        <w:tc>
          <w:tcPr>
            <w:tcW w:w="630" w:type="dxa"/>
            <w:shd w:val="clear" w:color="auto" w:fill="C0C0C0"/>
            <w:vAlign w:val="bottom"/>
          </w:tcPr>
          <w:p w:rsidR="005820A9" w:rsidRPr="001F0D3F" w:rsidRDefault="005820A9" w:rsidP="005820A9">
            <w:pPr>
              <w:jc w:val="center"/>
              <w:rPr>
                <w:sz w:val="14"/>
                <w:szCs w:val="16"/>
              </w:rPr>
            </w:pPr>
            <w:r w:rsidRPr="001F0D3F">
              <w:rPr>
                <w:sz w:val="14"/>
                <w:szCs w:val="16"/>
              </w:rPr>
              <w:t>IOU</w:t>
            </w:r>
          </w:p>
        </w:tc>
        <w:tc>
          <w:tcPr>
            <w:tcW w:w="720" w:type="dxa"/>
            <w:shd w:val="clear" w:color="auto" w:fill="C0C0C0"/>
            <w:vAlign w:val="bottom"/>
          </w:tcPr>
          <w:p w:rsidR="005820A9" w:rsidRPr="001F0D3F" w:rsidRDefault="005820A9" w:rsidP="003F2BB3">
            <w:pPr>
              <w:jc w:val="center"/>
              <w:rPr>
                <w:sz w:val="14"/>
                <w:szCs w:val="16"/>
              </w:rPr>
            </w:pPr>
            <w:r w:rsidRPr="001F0D3F">
              <w:rPr>
                <w:sz w:val="14"/>
                <w:szCs w:val="16"/>
              </w:rPr>
              <w:t>CZ</w:t>
            </w:r>
          </w:p>
        </w:tc>
        <w:tc>
          <w:tcPr>
            <w:tcW w:w="652" w:type="dxa"/>
            <w:shd w:val="clear" w:color="auto" w:fill="C0C0C0"/>
            <w:vAlign w:val="bottom"/>
          </w:tcPr>
          <w:p w:rsidR="005820A9" w:rsidRPr="001F0D3F" w:rsidRDefault="005820A9" w:rsidP="003F2BB3">
            <w:pPr>
              <w:jc w:val="center"/>
              <w:rPr>
                <w:sz w:val="14"/>
                <w:szCs w:val="16"/>
              </w:rPr>
            </w:pPr>
            <w:r w:rsidRPr="001F0D3F">
              <w:rPr>
                <w:sz w:val="14"/>
                <w:szCs w:val="16"/>
              </w:rPr>
              <w:t>Building Type</w:t>
            </w:r>
          </w:p>
        </w:tc>
        <w:tc>
          <w:tcPr>
            <w:tcW w:w="990" w:type="dxa"/>
            <w:shd w:val="clear" w:color="auto" w:fill="C0C0C0"/>
            <w:vAlign w:val="bottom"/>
          </w:tcPr>
          <w:p w:rsidR="005820A9" w:rsidRPr="001F0D3F" w:rsidRDefault="005820A9" w:rsidP="003F2BB3">
            <w:pPr>
              <w:jc w:val="center"/>
              <w:rPr>
                <w:sz w:val="14"/>
                <w:szCs w:val="16"/>
              </w:rPr>
            </w:pPr>
            <w:r w:rsidRPr="001F0D3F">
              <w:rPr>
                <w:sz w:val="14"/>
                <w:szCs w:val="16"/>
              </w:rPr>
              <w:t xml:space="preserve">EUL or RUL </w:t>
            </w:r>
          </w:p>
        </w:tc>
        <w:tc>
          <w:tcPr>
            <w:tcW w:w="1148" w:type="dxa"/>
            <w:shd w:val="clear" w:color="auto" w:fill="C0C0C0"/>
            <w:vAlign w:val="bottom"/>
          </w:tcPr>
          <w:p w:rsidR="005820A9" w:rsidRPr="001F0D3F" w:rsidRDefault="005820A9" w:rsidP="003F2BB3">
            <w:pPr>
              <w:jc w:val="center"/>
              <w:rPr>
                <w:sz w:val="14"/>
                <w:szCs w:val="16"/>
              </w:rPr>
            </w:pPr>
            <w:r w:rsidRPr="001F0D3F">
              <w:rPr>
                <w:sz w:val="14"/>
                <w:szCs w:val="16"/>
              </w:rPr>
              <w:t xml:space="preserve">NTG            </w:t>
            </w:r>
          </w:p>
        </w:tc>
        <w:tc>
          <w:tcPr>
            <w:tcW w:w="1170" w:type="dxa"/>
            <w:shd w:val="clear" w:color="auto" w:fill="C0C0C0"/>
            <w:vAlign w:val="bottom"/>
          </w:tcPr>
          <w:p w:rsidR="005820A9" w:rsidRPr="001F0D3F" w:rsidRDefault="005820A9" w:rsidP="003F2BB3">
            <w:pPr>
              <w:jc w:val="center"/>
              <w:rPr>
                <w:sz w:val="14"/>
                <w:szCs w:val="16"/>
              </w:rPr>
            </w:pPr>
            <w:r w:rsidRPr="001F0D3F">
              <w:rPr>
                <w:sz w:val="14"/>
                <w:szCs w:val="16"/>
              </w:rPr>
              <w:t xml:space="preserve">Unit </w:t>
            </w:r>
            <w:r w:rsidRPr="001F0D3F">
              <w:rPr>
                <w:sz w:val="14"/>
                <w:szCs w:val="16"/>
              </w:rPr>
              <w:br/>
              <w:t>Definition</w:t>
            </w:r>
          </w:p>
        </w:tc>
        <w:tc>
          <w:tcPr>
            <w:tcW w:w="1041" w:type="dxa"/>
            <w:shd w:val="clear" w:color="auto" w:fill="C0C0C0"/>
            <w:vAlign w:val="bottom"/>
          </w:tcPr>
          <w:p w:rsidR="005820A9" w:rsidRPr="001F0D3F" w:rsidRDefault="005820A9" w:rsidP="003F2BB3">
            <w:pPr>
              <w:jc w:val="center"/>
              <w:rPr>
                <w:sz w:val="14"/>
                <w:szCs w:val="16"/>
              </w:rPr>
            </w:pPr>
            <w:r w:rsidRPr="001F0D3F">
              <w:rPr>
                <w:sz w:val="14"/>
                <w:szCs w:val="16"/>
              </w:rPr>
              <w:t>Program Type (NEW, ROB, RET)</w:t>
            </w:r>
          </w:p>
        </w:tc>
        <w:tc>
          <w:tcPr>
            <w:tcW w:w="961" w:type="dxa"/>
            <w:shd w:val="clear" w:color="auto" w:fill="C0C0C0"/>
            <w:vAlign w:val="bottom"/>
          </w:tcPr>
          <w:p w:rsidR="005820A9" w:rsidRPr="001F0D3F" w:rsidRDefault="005820A9" w:rsidP="003F2BB3">
            <w:pPr>
              <w:jc w:val="center"/>
              <w:rPr>
                <w:sz w:val="14"/>
                <w:szCs w:val="16"/>
              </w:rPr>
            </w:pPr>
            <w:r w:rsidRPr="001F0D3F">
              <w:rPr>
                <w:sz w:val="14"/>
                <w:szCs w:val="16"/>
              </w:rPr>
              <w:t>Incremental  Measure Cost ($/unit)</w:t>
            </w:r>
          </w:p>
        </w:tc>
        <w:tc>
          <w:tcPr>
            <w:tcW w:w="900" w:type="dxa"/>
            <w:shd w:val="clear" w:color="auto" w:fill="C0C0C0"/>
            <w:vAlign w:val="bottom"/>
          </w:tcPr>
          <w:p w:rsidR="005820A9" w:rsidRPr="001F0D3F" w:rsidRDefault="005820A9" w:rsidP="003F2BB3">
            <w:pPr>
              <w:jc w:val="center"/>
              <w:rPr>
                <w:sz w:val="14"/>
                <w:szCs w:val="16"/>
              </w:rPr>
            </w:pPr>
            <w:r w:rsidRPr="001F0D3F">
              <w:rPr>
                <w:sz w:val="14"/>
                <w:szCs w:val="16"/>
              </w:rPr>
              <w:t xml:space="preserve">Gas </w:t>
            </w:r>
          </w:p>
          <w:p w:rsidR="00EB5AC4" w:rsidRDefault="005820A9" w:rsidP="003F2BB3">
            <w:pPr>
              <w:jc w:val="center"/>
              <w:rPr>
                <w:sz w:val="14"/>
                <w:szCs w:val="16"/>
              </w:rPr>
            </w:pPr>
            <w:r w:rsidRPr="001F0D3F">
              <w:rPr>
                <w:sz w:val="14"/>
                <w:szCs w:val="16"/>
              </w:rPr>
              <w:t>Savings (Therms</w:t>
            </w:r>
            <w:r w:rsidR="00EB5AC4">
              <w:rPr>
                <w:sz w:val="14"/>
                <w:szCs w:val="16"/>
              </w:rPr>
              <w:t>/</w:t>
            </w:r>
          </w:p>
          <w:p w:rsidR="005820A9" w:rsidRPr="001F0D3F" w:rsidRDefault="00EB5AC4" w:rsidP="003F2BB3">
            <w:pPr>
              <w:jc w:val="center"/>
              <w:rPr>
                <w:sz w:val="14"/>
                <w:szCs w:val="16"/>
              </w:rPr>
            </w:pPr>
            <w:r>
              <w:rPr>
                <w:sz w:val="14"/>
                <w:szCs w:val="16"/>
              </w:rPr>
              <w:t>unit</w:t>
            </w:r>
            <w:r w:rsidR="005820A9" w:rsidRPr="001F0D3F">
              <w:rPr>
                <w:sz w:val="14"/>
                <w:szCs w:val="16"/>
              </w:rPr>
              <w:t>)</w:t>
            </w:r>
          </w:p>
        </w:tc>
        <w:tc>
          <w:tcPr>
            <w:tcW w:w="990" w:type="dxa"/>
            <w:shd w:val="clear" w:color="auto" w:fill="C0C0C0"/>
            <w:vAlign w:val="bottom"/>
          </w:tcPr>
          <w:p w:rsidR="005820A9" w:rsidRPr="001F0D3F" w:rsidRDefault="005820A9" w:rsidP="003F2BB3">
            <w:pPr>
              <w:jc w:val="center"/>
              <w:rPr>
                <w:sz w:val="14"/>
                <w:szCs w:val="16"/>
              </w:rPr>
            </w:pPr>
            <w:r w:rsidRPr="001F0D3F">
              <w:rPr>
                <w:sz w:val="14"/>
                <w:szCs w:val="16"/>
              </w:rPr>
              <w:t>Gross Unit Annual Electricity Savings (kWh/unit)</w:t>
            </w:r>
          </w:p>
        </w:tc>
        <w:tc>
          <w:tcPr>
            <w:tcW w:w="900" w:type="dxa"/>
            <w:shd w:val="clear" w:color="auto" w:fill="C0C0C0"/>
            <w:vAlign w:val="bottom"/>
          </w:tcPr>
          <w:p w:rsidR="005820A9" w:rsidRPr="001F0D3F" w:rsidRDefault="005820A9" w:rsidP="003F2BB3">
            <w:pPr>
              <w:jc w:val="center"/>
              <w:rPr>
                <w:sz w:val="14"/>
                <w:szCs w:val="16"/>
              </w:rPr>
            </w:pPr>
            <w:r w:rsidRPr="001F0D3F">
              <w:rPr>
                <w:sz w:val="14"/>
                <w:szCs w:val="16"/>
              </w:rPr>
              <w:t>User Entered kW Savings per unit (kW/unit)</w:t>
            </w:r>
          </w:p>
        </w:tc>
        <w:tc>
          <w:tcPr>
            <w:tcW w:w="900" w:type="dxa"/>
            <w:shd w:val="clear" w:color="auto" w:fill="C0C0C0"/>
            <w:vAlign w:val="bottom"/>
          </w:tcPr>
          <w:p w:rsidR="005820A9" w:rsidRPr="001F0D3F" w:rsidRDefault="005820A9" w:rsidP="003F2BB3">
            <w:pPr>
              <w:jc w:val="center"/>
              <w:rPr>
                <w:sz w:val="14"/>
                <w:szCs w:val="16"/>
              </w:rPr>
            </w:pPr>
            <w:r w:rsidRPr="001F0D3F">
              <w:rPr>
                <w:sz w:val="14"/>
                <w:szCs w:val="16"/>
              </w:rPr>
              <w:t xml:space="preserve">% Eligible for TOU AC </w:t>
            </w:r>
          </w:p>
          <w:p w:rsidR="005820A9" w:rsidRPr="001F0D3F" w:rsidRDefault="005820A9" w:rsidP="003F2BB3">
            <w:pPr>
              <w:jc w:val="center"/>
              <w:rPr>
                <w:sz w:val="14"/>
                <w:szCs w:val="16"/>
              </w:rPr>
            </w:pPr>
            <w:r w:rsidRPr="001F0D3F">
              <w:rPr>
                <w:sz w:val="14"/>
                <w:szCs w:val="16"/>
              </w:rPr>
              <w:t>Adjustment</w:t>
            </w:r>
          </w:p>
        </w:tc>
        <w:tc>
          <w:tcPr>
            <w:tcW w:w="990" w:type="dxa"/>
            <w:shd w:val="clear" w:color="auto" w:fill="C0C0C0"/>
            <w:vAlign w:val="bottom"/>
          </w:tcPr>
          <w:p w:rsidR="005820A9" w:rsidRPr="001F0D3F" w:rsidRDefault="005820A9" w:rsidP="003F2BB3">
            <w:pPr>
              <w:jc w:val="center"/>
              <w:rPr>
                <w:sz w:val="14"/>
                <w:szCs w:val="16"/>
              </w:rPr>
            </w:pPr>
            <w:r w:rsidRPr="001F0D3F">
              <w:rPr>
                <w:sz w:val="14"/>
                <w:szCs w:val="16"/>
              </w:rPr>
              <w:t xml:space="preserve">Gross </w:t>
            </w:r>
          </w:p>
          <w:p w:rsidR="005820A9" w:rsidRPr="001F0D3F" w:rsidRDefault="005820A9" w:rsidP="003F2BB3">
            <w:pPr>
              <w:jc w:val="center"/>
              <w:rPr>
                <w:sz w:val="14"/>
                <w:szCs w:val="16"/>
              </w:rPr>
            </w:pPr>
            <w:r w:rsidRPr="001F0D3F">
              <w:rPr>
                <w:sz w:val="14"/>
                <w:szCs w:val="16"/>
              </w:rPr>
              <w:t>Realization Rate (GRR)</w:t>
            </w:r>
          </w:p>
        </w:tc>
      </w:tr>
      <w:tr w:rsidR="005820A9" w:rsidRPr="001F0D3F" w:rsidTr="00A408A4">
        <w:trPr>
          <w:trHeight w:val="172"/>
          <w:jc w:val="center"/>
        </w:trPr>
        <w:tc>
          <w:tcPr>
            <w:tcW w:w="2812" w:type="dxa"/>
            <w:shd w:val="clear" w:color="auto" w:fill="auto"/>
            <w:noWrap/>
            <w:vAlign w:val="center"/>
          </w:tcPr>
          <w:p w:rsidR="00D00EFC" w:rsidRPr="001F0D3F" w:rsidRDefault="00D00EFC" w:rsidP="00D00EFC">
            <w:pPr>
              <w:jc w:val="center"/>
              <w:rPr>
                <w:rFonts w:cs="Arial"/>
                <w:color w:val="000000"/>
                <w:sz w:val="14"/>
                <w:szCs w:val="18"/>
              </w:rPr>
            </w:pPr>
            <w:r w:rsidRPr="001F0D3F">
              <w:rPr>
                <w:rFonts w:cs="Arial"/>
                <w:color w:val="000000"/>
                <w:sz w:val="14"/>
                <w:szCs w:val="18"/>
              </w:rPr>
              <w:t>Efficient Central Furnace, 92% AFUE,</w:t>
            </w:r>
          </w:p>
          <w:p w:rsidR="005820A9" w:rsidRPr="001F0D3F" w:rsidRDefault="00D00EFC" w:rsidP="00D00EFC">
            <w:pPr>
              <w:jc w:val="center"/>
              <w:rPr>
                <w:rFonts w:cs="Arial"/>
                <w:color w:val="000000"/>
                <w:sz w:val="14"/>
                <w:szCs w:val="18"/>
              </w:rPr>
            </w:pPr>
            <w:r w:rsidRPr="001F0D3F">
              <w:rPr>
                <w:rFonts w:cs="Arial"/>
                <w:color w:val="000000"/>
                <w:sz w:val="14"/>
                <w:szCs w:val="18"/>
              </w:rPr>
              <w:t>(Res-GasFurnace-AFUE92,SFm,Existing,IOU)</w:t>
            </w:r>
          </w:p>
        </w:tc>
        <w:tc>
          <w:tcPr>
            <w:tcW w:w="630" w:type="dxa"/>
            <w:vAlign w:val="center"/>
          </w:tcPr>
          <w:p w:rsidR="005820A9" w:rsidRPr="001F0D3F" w:rsidRDefault="005820A9" w:rsidP="005820A9">
            <w:pPr>
              <w:jc w:val="center"/>
              <w:rPr>
                <w:sz w:val="14"/>
                <w:szCs w:val="18"/>
              </w:rPr>
            </w:pPr>
            <w:r w:rsidRPr="001F0D3F">
              <w:rPr>
                <w:sz w:val="14"/>
                <w:szCs w:val="18"/>
              </w:rPr>
              <w:t>SCG</w:t>
            </w:r>
          </w:p>
        </w:tc>
        <w:tc>
          <w:tcPr>
            <w:tcW w:w="720" w:type="dxa"/>
            <w:shd w:val="clear" w:color="auto" w:fill="auto"/>
            <w:noWrap/>
            <w:vAlign w:val="center"/>
          </w:tcPr>
          <w:p w:rsidR="005820A9" w:rsidRPr="001F0D3F" w:rsidRDefault="00C942B8">
            <w:pPr>
              <w:jc w:val="center"/>
              <w:rPr>
                <w:rFonts w:cs="Arial"/>
                <w:color w:val="000000"/>
                <w:sz w:val="14"/>
                <w:szCs w:val="18"/>
              </w:rPr>
            </w:pPr>
            <w:r>
              <w:rPr>
                <w:rFonts w:cs="Arial"/>
                <w:color w:val="000000"/>
                <w:sz w:val="14"/>
                <w:szCs w:val="18"/>
              </w:rPr>
              <w:t>IOU</w:t>
            </w:r>
          </w:p>
        </w:tc>
        <w:tc>
          <w:tcPr>
            <w:tcW w:w="652" w:type="dxa"/>
            <w:shd w:val="clear" w:color="auto" w:fill="auto"/>
            <w:vAlign w:val="center"/>
          </w:tcPr>
          <w:p w:rsidR="005820A9" w:rsidRPr="001F0D3F" w:rsidRDefault="005820A9" w:rsidP="00F53918">
            <w:pPr>
              <w:jc w:val="center"/>
              <w:rPr>
                <w:rFonts w:cs="Arial"/>
                <w:color w:val="000000"/>
                <w:sz w:val="14"/>
                <w:szCs w:val="18"/>
              </w:rPr>
            </w:pPr>
            <w:r w:rsidRPr="001F0D3F">
              <w:rPr>
                <w:rFonts w:cs="Arial"/>
                <w:color w:val="000000"/>
                <w:sz w:val="14"/>
                <w:szCs w:val="18"/>
              </w:rPr>
              <w:t>SFm</w:t>
            </w:r>
          </w:p>
        </w:tc>
        <w:tc>
          <w:tcPr>
            <w:tcW w:w="990" w:type="dxa"/>
            <w:shd w:val="clear" w:color="auto" w:fill="auto"/>
            <w:vAlign w:val="center"/>
          </w:tcPr>
          <w:p w:rsidR="005820A9" w:rsidRPr="001F0D3F" w:rsidRDefault="005820A9" w:rsidP="009C314C">
            <w:pPr>
              <w:jc w:val="center"/>
              <w:rPr>
                <w:rFonts w:cs="Arial"/>
                <w:color w:val="000000"/>
                <w:sz w:val="14"/>
                <w:szCs w:val="18"/>
              </w:rPr>
            </w:pPr>
            <w:r w:rsidRPr="001F0D3F">
              <w:rPr>
                <w:rFonts w:cs="Arial"/>
                <w:color w:val="000000"/>
                <w:sz w:val="14"/>
                <w:szCs w:val="18"/>
              </w:rPr>
              <w:t xml:space="preserve">20 </w:t>
            </w:r>
            <w:r w:rsidRPr="001F0D3F">
              <w:rPr>
                <w:rFonts w:cs="Arial"/>
                <w:color w:val="000000"/>
                <w:sz w:val="14"/>
                <w:szCs w:val="18"/>
              </w:rPr>
              <w:br/>
              <w:t>(HV-EffFurn)</w:t>
            </w:r>
          </w:p>
        </w:tc>
        <w:tc>
          <w:tcPr>
            <w:tcW w:w="1148" w:type="dxa"/>
            <w:shd w:val="clear" w:color="auto" w:fill="auto"/>
            <w:vAlign w:val="center"/>
          </w:tcPr>
          <w:p w:rsidR="005820A9" w:rsidRPr="001F0D3F" w:rsidRDefault="005820A9" w:rsidP="007969B8">
            <w:pPr>
              <w:jc w:val="center"/>
              <w:rPr>
                <w:rFonts w:cs="Arial"/>
                <w:color w:val="000000"/>
                <w:sz w:val="14"/>
                <w:szCs w:val="18"/>
              </w:rPr>
            </w:pPr>
            <w:r w:rsidRPr="001F0D3F">
              <w:rPr>
                <w:rFonts w:cs="Arial"/>
                <w:color w:val="000000"/>
                <w:sz w:val="14"/>
                <w:szCs w:val="18"/>
              </w:rPr>
              <w:t>0.55</w:t>
            </w:r>
            <w:r w:rsidRPr="001F0D3F">
              <w:rPr>
                <w:rFonts w:cs="Arial"/>
                <w:color w:val="000000"/>
                <w:sz w:val="14"/>
                <w:szCs w:val="18"/>
              </w:rPr>
              <w:br/>
              <w:t>(Res-Default&gt;2)</w:t>
            </w:r>
          </w:p>
        </w:tc>
        <w:tc>
          <w:tcPr>
            <w:tcW w:w="1170" w:type="dxa"/>
            <w:shd w:val="clear" w:color="auto" w:fill="auto"/>
            <w:noWrap/>
            <w:vAlign w:val="center"/>
          </w:tcPr>
          <w:p w:rsidR="005820A9" w:rsidRPr="001F0D3F" w:rsidRDefault="005820A9" w:rsidP="009C314C">
            <w:pPr>
              <w:jc w:val="center"/>
              <w:rPr>
                <w:rFonts w:cs="Arial"/>
                <w:color w:val="000000"/>
                <w:sz w:val="14"/>
                <w:szCs w:val="18"/>
              </w:rPr>
            </w:pPr>
            <w:r w:rsidRPr="001F0D3F">
              <w:rPr>
                <w:rFonts w:cs="Arial"/>
                <w:color w:val="000000"/>
                <w:sz w:val="14"/>
                <w:szCs w:val="18"/>
              </w:rPr>
              <w:t xml:space="preserve">Residential </w:t>
            </w:r>
            <w:r w:rsidRPr="001F0D3F">
              <w:rPr>
                <w:rFonts w:cs="Arial"/>
                <w:color w:val="000000"/>
                <w:sz w:val="14"/>
                <w:szCs w:val="18"/>
              </w:rPr>
              <w:br/>
              <w:t>Furnace</w:t>
            </w:r>
          </w:p>
        </w:tc>
        <w:tc>
          <w:tcPr>
            <w:tcW w:w="1041" w:type="dxa"/>
            <w:shd w:val="clear" w:color="auto" w:fill="auto"/>
            <w:noWrap/>
            <w:vAlign w:val="center"/>
          </w:tcPr>
          <w:p w:rsidR="005820A9" w:rsidRPr="001F0D3F" w:rsidRDefault="005820A9" w:rsidP="009C314C">
            <w:pPr>
              <w:jc w:val="center"/>
              <w:rPr>
                <w:rFonts w:cs="Arial"/>
                <w:color w:val="000000"/>
                <w:sz w:val="14"/>
                <w:szCs w:val="18"/>
              </w:rPr>
            </w:pPr>
            <w:r w:rsidRPr="001F0D3F">
              <w:rPr>
                <w:rFonts w:cs="Arial"/>
                <w:color w:val="000000"/>
                <w:sz w:val="14"/>
                <w:szCs w:val="18"/>
              </w:rPr>
              <w:t>RobNc</w:t>
            </w:r>
          </w:p>
        </w:tc>
        <w:tc>
          <w:tcPr>
            <w:tcW w:w="961" w:type="dxa"/>
            <w:shd w:val="clear" w:color="auto" w:fill="auto"/>
            <w:noWrap/>
            <w:vAlign w:val="center"/>
          </w:tcPr>
          <w:p w:rsidR="005820A9" w:rsidRPr="001F0D3F" w:rsidRDefault="00AD0F2D" w:rsidP="005848F6">
            <w:pPr>
              <w:jc w:val="center"/>
              <w:rPr>
                <w:rFonts w:cs="Arial"/>
                <w:color w:val="000000"/>
                <w:sz w:val="14"/>
                <w:szCs w:val="18"/>
              </w:rPr>
            </w:pPr>
            <w:r>
              <w:rPr>
                <w:rFonts w:cs="Arial"/>
                <w:color w:val="000000"/>
                <w:sz w:val="14"/>
                <w:szCs w:val="18"/>
              </w:rPr>
              <w:t>$131.63</w:t>
            </w:r>
            <w:r w:rsidR="005820A9" w:rsidRPr="001F0D3F">
              <w:rPr>
                <w:rFonts w:cs="Arial"/>
                <w:color w:val="000000"/>
                <w:sz w:val="14"/>
                <w:szCs w:val="18"/>
              </w:rPr>
              <w:t xml:space="preserve"> </w:t>
            </w:r>
          </w:p>
        </w:tc>
        <w:tc>
          <w:tcPr>
            <w:tcW w:w="900" w:type="dxa"/>
            <w:vAlign w:val="center"/>
          </w:tcPr>
          <w:p w:rsidR="005820A9" w:rsidRPr="001F0D3F" w:rsidRDefault="0039316D">
            <w:pPr>
              <w:jc w:val="center"/>
              <w:rPr>
                <w:rFonts w:cs="Arial"/>
                <w:color w:val="000000"/>
                <w:sz w:val="14"/>
                <w:szCs w:val="18"/>
              </w:rPr>
            </w:pPr>
            <w:r>
              <w:rPr>
                <w:rFonts w:cs="Arial"/>
                <w:color w:val="000000"/>
                <w:sz w:val="14"/>
                <w:szCs w:val="18"/>
              </w:rPr>
              <w:t>21.8</w:t>
            </w:r>
          </w:p>
        </w:tc>
        <w:tc>
          <w:tcPr>
            <w:tcW w:w="990" w:type="dxa"/>
            <w:vAlign w:val="center"/>
          </w:tcPr>
          <w:p w:rsidR="005820A9" w:rsidRPr="001F0D3F" w:rsidRDefault="005820A9" w:rsidP="009C314C">
            <w:pPr>
              <w:jc w:val="center"/>
              <w:rPr>
                <w:rFonts w:cs="Arial"/>
                <w:color w:val="000000"/>
                <w:sz w:val="14"/>
                <w:szCs w:val="18"/>
              </w:rPr>
            </w:pPr>
            <w:r w:rsidRPr="001F0D3F">
              <w:rPr>
                <w:rFonts w:cs="Arial"/>
                <w:color w:val="000000"/>
                <w:sz w:val="14"/>
                <w:szCs w:val="18"/>
              </w:rPr>
              <w:t>N/A</w:t>
            </w:r>
          </w:p>
        </w:tc>
        <w:tc>
          <w:tcPr>
            <w:tcW w:w="900" w:type="dxa"/>
            <w:vAlign w:val="center"/>
          </w:tcPr>
          <w:p w:rsidR="005820A9" w:rsidRPr="001F0D3F" w:rsidRDefault="005820A9" w:rsidP="009C314C">
            <w:pPr>
              <w:jc w:val="center"/>
              <w:rPr>
                <w:rFonts w:cs="Arial"/>
                <w:color w:val="000000"/>
                <w:sz w:val="14"/>
                <w:szCs w:val="18"/>
              </w:rPr>
            </w:pPr>
            <w:r w:rsidRPr="001F0D3F">
              <w:rPr>
                <w:rFonts w:cs="Arial"/>
                <w:color w:val="000000"/>
                <w:sz w:val="14"/>
                <w:szCs w:val="18"/>
              </w:rPr>
              <w:t>N/A</w:t>
            </w:r>
          </w:p>
        </w:tc>
        <w:tc>
          <w:tcPr>
            <w:tcW w:w="900" w:type="dxa"/>
            <w:vAlign w:val="center"/>
          </w:tcPr>
          <w:p w:rsidR="005820A9" w:rsidRPr="001F0D3F" w:rsidRDefault="005820A9" w:rsidP="009C314C">
            <w:pPr>
              <w:jc w:val="center"/>
              <w:rPr>
                <w:rFonts w:cs="Arial"/>
                <w:color w:val="000000"/>
                <w:sz w:val="14"/>
                <w:szCs w:val="18"/>
              </w:rPr>
            </w:pPr>
            <w:r w:rsidRPr="001F0D3F">
              <w:rPr>
                <w:rFonts w:cs="Arial"/>
                <w:color w:val="000000"/>
                <w:sz w:val="14"/>
                <w:szCs w:val="18"/>
              </w:rPr>
              <w:t>N/A</w:t>
            </w:r>
          </w:p>
        </w:tc>
        <w:tc>
          <w:tcPr>
            <w:tcW w:w="990" w:type="dxa"/>
            <w:vAlign w:val="center"/>
          </w:tcPr>
          <w:p w:rsidR="005820A9" w:rsidRPr="001F0D3F" w:rsidRDefault="005820A9" w:rsidP="009C314C">
            <w:pPr>
              <w:jc w:val="center"/>
              <w:rPr>
                <w:sz w:val="14"/>
              </w:rPr>
            </w:pPr>
            <w:r w:rsidRPr="001F0D3F">
              <w:rPr>
                <w:sz w:val="14"/>
              </w:rPr>
              <w:t>1.0</w:t>
            </w:r>
          </w:p>
        </w:tc>
      </w:tr>
      <w:tr w:rsidR="005820A9" w:rsidRPr="001F0D3F" w:rsidTr="00A408A4">
        <w:trPr>
          <w:trHeight w:val="172"/>
          <w:jc w:val="center"/>
        </w:trPr>
        <w:tc>
          <w:tcPr>
            <w:tcW w:w="2812" w:type="dxa"/>
            <w:shd w:val="clear" w:color="auto" w:fill="auto"/>
            <w:noWrap/>
            <w:vAlign w:val="center"/>
          </w:tcPr>
          <w:p w:rsidR="00D00EFC" w:rsidRPr="001F0D3F" w:rsidRDefault="00D00EFC" w:rsidP="00D00EFC">
            <w:pPr>
              <w:jc w:val="center"/>
              <w:rPr>
                <w:rFonts w:cs="Arial"/>
                <w:color w:val="000000"/>
                <w:sz w:val="14"/>
                <w:szCs w:val="18"/>
              </w:rPr>
            </w:pPr>
            <w:r w:rsidRPr="001F0D3F">
              <w:rPr>
                <w:rFonts w:cs="Arial"/>
                <w:color w:val="000000"/>
                <w:sz w:val="14"/>
                <w:szCs w:val="18"/>
              </w:rPr>
              <w:t>Efficient Central Furnace, 92% AFUE,</w:t>
            </w:r>
          </w:p>
          <w:p w:rsidR="005820A9" w:rsidRPr="001F0D3F" w:rsidRDefault="00D00EFC" w:rsidP="00D00EFC">
            <w:pPr>
              <w:jc w:val="center"/>
              <w:rPr>
                <w:rFonts w:cs="Arial"/>
                <w:color w:val="000000"/>
                <w:sz w:val="14"/>
                <w:szCs w:val="18"/>
              </w:rPr>
            </w:pPr>
            <w:r w:rsidRPr="001F0D3F">
              <w:rPr>
                <w:rFonts w:cs="Arial"/>
                <w:color w:val="000000"/>
                <w:sz w:val="14"/>
                <w:szCs w:val="18"/>
              </w:rPr>
              <w:t>(Res-GasFurnace-AFUE92,MFm,Existing,IOU)</w:t>
            </w:r>
          </w:p>
        </w:tc>
        <w:tc>
          <w:tcPr>
            <w:tcW w:w="630" w:type="dxa"/>
            <w:vAlign w:val="center"/>
          </w:tcPr>
          <w:p w:rsidR="005820A9" w:rsidRPr="001F0D3F" w:rsidRDefault="005820A9" w:rsidP="005820A9">
            <w:pPr>
              <w:jc w:val="center"/>
              <w:rPr>
                <w:sz w:val="14"/>
                <w:szCs w:val="18"/>
              </w:rPr>
            </w:pPr>
            <w:r w:rsidRPr="001F0D3F">
              <w:rPr>
                <w:sz w:val="14"/>
                <w:szCs w:val="18"/>
              </w:rPr>
              <w:t>SCG</w:t>
            </w:r>
          </w:p>
        </w:tc>
        <w:tc>
          <w:tcPr>
            <w:tcW w:w="720" w:type="dxa"/>
            <w:shd w:val="clear" w:color="auto" w:fill="auto"/>
            <w:noWrap/>
            <w:vAlign w:val="center"/>
          </w:tcPr>
          <w:p w:rsidR="005820A9" w:rsidRPr="001F0D3F" w:rsidRDefault="00C942B8">
            <w:pPr>
              <w:jc w:val="center"/>
              <w:rPr>
                <w:rFonts w:cs="Arial"/>
                <w:color w:val="000000"/>
                <w:sz w:val="14"/>
                <w:szCs w:val="18"/>
              </w:rPr>
            </w:pPr>
            <w:r>
              <w:rPr>
                <w:rFonts w:cs="Arial"/>
                <w:color w:val="000000"/>
                <w:sz w:val="14"/>
                <w:szCs w:val="18"/>
              </w:rPr>
              <w:t>IOU</w:t>
            </w:r>
          </w:p>
        </w:tc>
        <w:tc>
          <w:tcPr>
            <w:tcW w:w="652" w:type="dxa"/>
            <w:shd w:val="clear" w:color="auto" w:fill="auto"/>
            <w:vAlign w:val="center"/>
          </w:tcPr>
          <w:p w:rsidR="005820A9" w:rsidRPr="001F0D3F" w:rsidRDefault="00D00EFC" w:rsidP="00F53918">
            <w:pPr>
              <w:jc w:val="center"/>
              <w:rPr>
                <w:sz w:val="14"/>
              </w:rPr>
            </w:pPr>
            <w:r w:rsidRPr="001F0D3F">
              <w:rPr>
                <w:rFonts w:cs="Arial"/>
                <w:color w:val="000000"/>
                <w:sz w:val="14"/>
                <w:szCs w:val="18"/>
              </w:rPr>
              <w:t>MFm</w:t>
            </w:r>
          </w:p>
        </w:tc>
        <w:tc>
          <w:tcPr>
            <w:tcW w:w="990" w:type="dxa"/>
            <w:shd w:val="clear" w:color="auto" w:fill="auto"/>
            <w:vAlign w:val="center"/>
          </w:tcPr>
          <w:p w:rsidR="005820A9" w:rsidRPr="001F0D3F" w:rsidRDefault="005820A9" w:rsidP="009C314C">
            <w:pPr>
              <w:jc w:val="center"/>
              <w:rPr>
                <w:rFonts w:cs="Arial"/>
                <w:color w:val="000000"/>
                <w:sz w:val="14"/>
                <w:szCs w:val="18"/>
              </w:rPr>
            </w:pPr>
            <w:r w:rsidRPr="001F0D3F">
              <w:rPr>
                <w:rFonts w:cs="Arial"/>
                <w:color w:val="000000"/>
                <w:sz w:val="14"/>
                <w:szCs w:val="18"/>
              </w:rPr>
              <w:t xml:space="preserve">20 </w:t>
            </w:r>
            <w:r w:rsidRPr="001F0D3F">
              <w:rPr>
                <w:rFonts w:cs="Arial"/>
                <w:color w:val="000000"/>
                <w:sz w:val="14"/>
                <w:szCs w:val="18"/>
              </w:rPr>
              <w:br/>
              <w:t>(HV-EffFurn)</w:t>
            </w:r>
          </w:p>
        </w:tc>
        <w:tc>
          <w:tcPr>
            <w:tcW w:w="1148" w:type="dxa"/>
            <w:shd w:val="clear" w:color="auto" w:fill="auto"/>
            <w:vAlign w:val="center"/>
          </w:tcPr>
          <w:p w:rsidR="005820A9" w:rsidRPr="001F0D3F" w:rsidRDefault="005820A9" w:rsidP="00743FA7">
            <w:pPr>
              <w:jc w:val="center"/>
              <w:rPr>
                <w:sz w:val="14"/>
              </w:rPr>
            </w:pPr>
            <w:r w:rsidRPr="001F0D3F">
              <w:rPr>
                <w:rFonts w:cs="Arial"/>
                <w:color w:val="000000"/>
                <w:sz w:val="14"/>
                <w:szCs w:val="18"/>
              </w:rPr>
              <w:t>0.55</w:t>
            </w:r>
            <w:r w:rsidRPr="001F0D3F">
              <w:rPr>
                <w:rFonts w:cs="Arial"/>
                <w:color w:val="000000"/>
                <w:sz w:val="14"/>
                <w:szCs w:val="18"/>
              </w:rPr>
              <w:br/>
              <w:t>(Res-Default&gt;2)</w:t>
            </w:r>
          </w:p>
        </w:tc>
        <w:tc>
          <w:tcPr>
            <w:tcW w:w="1170" w:type="dxa"/>
            <w:shd w:val="clear" w:color="auto" w:fill="auto"/>
            <w:noWrap/>
            <w:vAlign w:val="center"/>
          </w:tcPr>
          <w:p w:rsidR="005820A9" w:rsidRPr="001F0D3F" w:rsidRDefault="005820A9" w:rsidP="009C314C">
            <w:pPr>
              <w:jc w:val="center"/>
              <w:rPr>
                <w:rFonts w:cs="Arial"/>
                <w:color w:val="000000"/>
                <w:sz w:val="14"/>
                <w:szCs w:val="18"/>
              </w:rPr>
            </w:pPr>
            <w:r w:rsidRPr="001F0D3F">
              <w:rPr>
                <w:rFonts w:cs="Arial"/>
                <w:color w:val="000000"/>
                <w:sz w:val="14"/>
                <w:szCs w:val="18"/>
              </w:rPr>
              <w:t xml:space="preserve">Residential </w:t>
            </w:r>
            <w:r w:rsidRPr="001F0D3F">
              <w:rPr>
                <w:rFonts w:cs="Arial"/>
                <w:color w:val="000000"/>
                <w:sz w:val="14"/>
                <w:szCs w:val="18"/>
              </w:rPr>
              <w:br/>
              <w:t>Furnace</w:t>
            </w:r>
          </w:p>
        </w:tc>
        <w:tc>
          <w:tcPr>
            <w:tcW w:w="1041" w:type="dxa"/>
            <w:shd w:val="clear" w:color="auto" w:fill="auto"/>
            <w:noWrap/>
            <w:vAlign w:val="center"/>
          </w:tcPr>
          <w:p w:rsidR="005820A9" w:rsidRPr="001F0D3F" w:rsidRDefault="005820A9" w:rsidP="009C314C">
            <w:pPr>
              <w:jc w:val="center"/>
              <w:rPr>
                <w:rFonts w:cs="Arial"/>
                <w:color w:val="000000"/>
                <w:sz w:val="14"/>
                <w:szCs w:val="18"/>
              </w:rPr>
            </w:pPr>
            <w:r w:rsidRPr="001F0D3F">
              <w:rPr>
                <w:rFonts w:cs="Arial"/>
                <w:color w:val="000000"/>
                <w:sz w:val="14"/>
                <w:szCs w:val="18"/>
              </w:rPr>
              <w:t>RobNc</w:t>
            </w:r>
          </w:p>
        </w:tc>
        <w:tc>
          <w:tcPr>
            <w:tcW w:w="961" w:type="dxa"/>
            <w:shd w:val="clear" w:color="auto" w:fill="auto"/>
            <w:noWrap/>
            <w:vAlign w:val="center"/>
          </w:tcPr>
          <w:p w:rsidR="005820A9" w:rsidRPr="001F0D3F" w:rsidRDefault="005820A9" w:rsidP="00AD0F2D">
            <w:pPr>
              <w:jc w:val="center"/>
              <w:rPr>
                <w:rFonts w:cs="Arial"/>
                <w:color w:val="000000"/>
                <w:sz w:val="14"/>
                <w:szCs w:val="18"/>
              </w:rPr>
            </w:pPr>
            <w:r w:rsidRPr="001F0D3F">
              <w:rPr>
                <w:rFonts w:cs="Arial"/>
                <w:color w:val="000000"/>
                <w:sz w:val="14"/>
                <w:szCs w:val="18"/>
              </w:rPr>
              <w:t>$</w:t>
            </w:r>
            <w:r w:rsidR="00AD0F2D">
              <w:rPr>
                <w:rFonts w:cs="Arial"/>
                <w:color w:val="000000"/>
                <w:sz w:val="14"/>
                <w:szCs w:val="18"/>
              </w:rPr>
              <w:t>66.13</w:t>
            </w:r>
            <w:r w:rsidRPr="001F0D3F">
              <w:rPr>
                <w:rFonts w:cs="Arial"/>
                <w:color w:val="000000"/>
                <w:sz w:val="14"/>
                <w:szCs w:val="18"/>
              </w:rPr>
              <w:t xml:space="preserve"> </w:t>
            </w:r>
          </w:p>
        </w:tc>
        <w:tc>
          <w:tcPr>
            <w:tcW w:w="900" w:type="dxa"/>
            <w:vAlign w:val="center"/>
          </w:tcPr>
          <w:p w:rsidR="005820A9" w:rsidRPr="001F0D3F" w:rsidRDefault="00D92F00">
            <w:pPr>
              <w:jc w:val="center"/>
              <w:rPr>
                <w:rFonts w:cs="Arial"/>
                <w:color w:val="000000"/>
                <w:sz w:val="14"/>
                <w:szCs w:val="18"/>
              </w:rPr>
            </w:pPr>
            <w:r>
              <w:rPr>
                <w:rFonts w:cs="Arial"/>
                <w:color w:val="000000"/>
                <w:sz w:val="14"/>
                <w:szCs w:val="18"/>
              </w:rPr>
              <w:t>9.</w:t>
            </w:r>
            <w:r w:rsidR="0039316D">
              <w:rPr>
                <w:rFonts w:cs="Arial"/>
                <w:color w:val="000000"/>
                <w:sz w:val="14"/>
                <w:szCs w:val="18"/>
              </w:rPr>
              <w:t>2</w:t>
            </w:r>
          </w:p>
        </w:tc>
        <w:tc>
          <w:tcPr>
            <w:tcW w:w="990" w:type="dxa"/>
            <w:vAlign w:val="center"/>
          </w:tcPr>
          <w:p w:rsidR="005820A9" w:rsidRPr="001F0D3F" w:rsidRDefault="005820A9" w:rsidP="005848F6">
            <w:pPr>
              <w:jc w:val="center"/>
              <w:rPr>
                <w:rFonts w:cs="Arial"/>
                <w:color w:val="000000"/>
                <w:sz w:val="14"/>
                <w:szCs w:val="18"/>
              </w:rPr>
            </w:pPr>
            <w:r w:rsidRPr="001F0D3F">
              <w:rPr>
                <w:rFonts w:cs="Arial"/>
                <w:color w:val="000000"/>
                <w:sz w:val="14"/>
                <w:szCs w:val="18"/>
              </w:rPr>
              <w:t>N/A</w:t>
            </w:r>
          </w:p>
        </w:tc>
        <w:tc>
          <w:tcPr>
            <w:tcW w:w="900" w:type="dxa"/>
            <w:vAlign w:val="center"/>
          </w:tcPr>
          <w:p w:rsidR="005820A9" w:rsidRPr="001F0D3F" w:rsidRDefault="005820A9" w:rsidP="005848F6">
            <w:pPr>
              <w:jc w:val="center"/>
              <w:rPr>
                <w:rFonts w:cs="Arial"/>
                <w:color w:val="000000"/>
                <w:sz w:val="14"/>
                <w:szCs w:val="18"/>
              </w:rPr>
            </w:pPr>
            <w:r w:rsidRPr="001F0D3F">
              <w:rPr>
                <w:rFonts w:cs="Arial"/>
                <w:color w:val="000000"/>
                <w:sz w:val="14"/>
                <w:szCs w:val="18"/>
              </w:rPr>
              <w:t>N/A</w:t>
            </w:r>
          </w:p>
        </w:tc>
        <w:tc>
          <w:tcPr>
            <w:tcW w:w="900" w:type="dxa"/>
            <w:vAlign w:val="center"/>
          </w:tcPr>
          <w:p w:rsidR="005820A9" w:rsidRPr="001F0D3F" w:rsidRDefault="005820A9" w:rsidP="005848F6">
            <w:pPr>
              <w:jc w:val="center"/>
              <w:rPr>
                <w:rFonts w:cs="Arial"/>
                <w:color w:val="000000"/>
                <w:sz w:val="14"/>
                <w:szCs w:val="18"/>
              </w:rPr>
            </w:pPr>
            <w:r w:rsidRPr="001F0D3F">
              <w:rPr>
                <w:rFonts w:cs="Arial"/>
                <w:color w:val="000000"/>
                <w:sz w:val="14"/>
                <w:szCs w:val="18"/>
              </w:rPr>
              <w:t>N/A</w:t>
            </w:r>
          </w:p>
        </w:tc>
        <w:tc>
          <w:tcPr>
            <w:tcW w:w="990" w:type="dxa"/>
            <w:vAlign w:val="center"/>
          </w:tcPr>
          <w:p w:rsidR="005820A9" w:rsidRPr="001F0D3F" w:rsidRDefault="005820A9" w:rsidP="005848F6">
            <w:pPr>
              <w:jc w:val="center"/>
              <w:rPr>
                <w:sz w:val="14"/>
              </w:rPr>
            </w:pPr>
            <w:r w:rsidRPr="001F0D3F">
              <w:rPr>
                <w:sz w:val="14"/>
              </w:rPr>
              <w:t>1.0</w:t>
            </w:r>
          </w:p>
        </w:tc>
      </w:tr>
      <w:tr w:rsidR="005820A9" w:rsidRPr="001F0D3F" w:rsidTr="00A408A4">
        <w:trPr>
          <w:trHeight w:val="172"/>
          <w:jc w:val="center"/>
        </w:trPr>
        <w:tc>
          <w:tcPr>
            <w:tcW w:w="2812" w:type="dxa"/>
            <w:shd w:val="clear" w:color="auto" w:fill="auto"/>
            <w:noWrap/>
            <w:vAlign w:val="center"/>
          </w:tcPr>
          <w:p w:rsidR="00D00EFC" w:rsidRPr="001F0D3F" w:rsidRDefault="00D00EFC" w:rsidP="00D00EFC">
            <w:pPr>
              <w:jc w:val="center"/>
              <w:rPr>
                <w:rFonts w:cs="Arial"/>
                <w:color w:val="000000"/>
                <w:sz w:val="14"/>
                <w:szCs w:val="18"/>
              </w:rPr>
            </w:pPr>
            <w:r w:rsidRPr="001F0D3F">
              <w:rPr>
                <w:rFonts w:cs="Arial"/>
                <w:color w:val="000000"/>
                <w:sz w:val="14"/>
                <w:szCs w:val="18"/>
              </w:rPr>
              <w:t>Efficient Central Furnace, 92% AFUE,</w:t>
            </w:r>
          </w:p>
          <w:p w:rsidR="005820A9" w:rsidRPr="001F0D3F" w:rsidRDefault="00D00EFC" w:rsidP="00D00EFC">
            <w:pPr>
              <w:jc w:val="center"/>
              <w:rPr>
                <w:rFonts w:cs="Arial"/>
                <w:color w:val="000000"/>
                <w:sz w:val="14"/>
                <w:szCs w:val="18"/>
              </w:rPr>
            </w:pPr>
            <w:r w:rsidRPr="001F0D3F">
              <w:rPr>
                <w:rFonts w:cs="Arial"/>
                <w:color w:val="000000"/>
                <w:sz w:val="14"/>
                <w:szCs w:val="18"/>
              </w:rPr>
              <w:t>(Res-GasFurnace-AFUE92,DMo,Existing,IOU)</w:t>
            </w:r>
          </w:p>
        </w:tc>
        <w:tc>
          <w:tcPr>
            <w:tcW w:w="630" w:type="dxa"/>
            <w:vAlign w:val="center"/>
          </w:tcPr>
          <w:p w:rsidR="005820A9" w:rsidRPr="001F0D3F" w:rsidRDefault="005820A9" w:rsidP="005820A9">
            <w:pPr>
              <w:jc w:val="center"/>
              <w:rPr>
                <w:sz w:val="14"/>
                <w:szCs w:val="18"/>
              </w:rPr>
            </w:pPr>
            <w:r w:rsidRPr="001F0D3F">
              <w:rPr>
                <w:sz w:val="14"/>
                <w:szCs w:val="18"/>
              </w:rPr>
              <w:t>SCG</w:t>
            </w:r>
          </w:p>
        </w:tc>
        <w:tc>
          <w:tcPr>
            <w:tcW w:w="720" w:type="dxa"/>
            <w:shd w:val="clear" w:color="auto" w:fill="auto"/>
            <w:noWrap/>
            <w:vAlign w:val="center"/>
          </w:tcPr>
          <w:p w:rsidR="005820A9" w:rsidRPr="001F0D3F" w:rsidRDefault="00C942B8">
            <w:pPr>
              <w:jc w:val="center"/>
              <w:rPr>
                <w:rFonts w:cs="Arial"/>
                <w:color w:val="000000"/>
                <w:sz w:val="14"/>
                <w:szCs w:val="18"/>
              </w:rPr>
            </w:pPr>
            <w:r>
              <w:rPr>
                <w:rFonts w:cs="Arial"/>
                <w:color w:val="000000"/>
                <w:sz w:val="14"/>
                <w:szCs w:val="18"/>
              </w:rPr>
              <w:t>IOU</w:t>
            </w:r>
          </w:p>
        </w:tc>
        <w:tc>
          <w:tcPr>
            <w:tcW w:w="652" w:type="dxa"/>
            <w:shd w:val="clear" w:color="auto" w:fill="auto"/>
            <w:vAlign w:val="center"/>
          </w:tcPr>
          <w:p w:rsidR="005820A9" w:rsidRPr="001F0D3F" w:rsidRDefault="00D00EFC" w:rsidP="00F53918">
            <w:pPr>
              <w:jc w:val="center"/>
              <w:rPr>
                <w:sz w:val="14"/>
              </w:rPr>
            </w:pPr>
            <w:r w:rsidRPr="001F0D3F">
              <w:rPr>
                <w:rFonts w:cs="Arial"/>
                <w:color w:val="000000"/>
                <w:sz w:val="14"/>
                <w:szCs w:val="18"/>
              </w:rPr>
              <w:t>DMo</w:t>
            </w:r>
          </w:p>
        </w:tc>
        <w:tc>
          <w:tcPr>
            <w:tcW w:w="990" w:type="dxa"/>
            <w:shd w:val="clear" w:color="auto" w:fill="auto"/>
            <w:vAlign w:val="center"/>
          </w:tcPr>
          <w:p w:rsidR="005820A9" w:rsidRPr="001F0D3F" w:rsidRDefault="005820A9" w:rsidP="009C314C">
            <w:pPr>
              <w:jc w:val="center"/>
              <w:rPr>
                <w:rFonts w:cs="Arial"/>
                <w:color w:val="000000"/>
                <w:sz w:val="14"/>
                <w:szCs w:val="18"/>
              </w:rPr>
            </w:pPr>
            <w:r w:rsidRPr="001F0D3F">
              <w:rPr>
                <w:rFonts w:cs="Arial"/>
                <w:color w:val="000000"/>
                <w:sz w:val="14"/>
                <w:szCs w:val="18"/>
              </w:rPr>
              <w:t xml:space="preserve">20 </w:t>
            </w:r>
            <w:r w:rsidRPr="001F0D3F">
              <w:rPr>
                <w:rFonts w:cs="Arial"/>
                <w:color w:val="000000"/>
                <w:sz w:val="14"/>
                <w:szCs w:val="18"/>
              </w:rPr>
              <w:br/>
              <w:t>(HV-EffFurn)</w:t>
            </w:r>
          </w:p>
        </w:tc>
        <w:tc>
          <w:tcPr>
            <w:tcW w:w="1148" w:type="dxa"/>
            <w:shd w:val="clear" w:color="auto" w:fill="auto"/>
            <w:vAlign w:val="center"/>
          </w:tcPr>
          <w:p w:rsidR="005820A9" w:rsidRPr="001F0D3F" w:rsidRDefault="005820A9" w:rsidP="00743FA7">
            <w:pPr>
              <w:jc w:val="center"/>
              <w:rPr>
                <w:sz w:val="14"/>
              </w:rPr>
            </w:pPr>
            <w:r w:rsidRPr="001F0D3F">
              <w:rPr>
                <w:rFonts w:cs="Arial"/>
                <w:color w:val="000000"/>
                <w:sz w:val="14"/>
                <w:szCs w:val="18"/>
              </w:rPr>
              <w:t>0.55</w:t>
            </w:r>
            <w:r w:rsidRPr="001F0D3F">
              <w:rPr>
                <w:rFonts w:cs="Arial"/>
                <w:color w:val="000000"/>
                <w:sz w:val="14"/>
                <w:szCs w:val="18"/>
              </w:rPr>
              <w:br/>
              <w:t>(Res-Default&gt;2)</w:t>
            </w:r>
          </w:p>
        </w:tc>
        <w:tc>
          <w:tcPr>
            <w:tcW w:w="1170" w:type="dxa"/>
            <w:shd w:val="clear" w:color="auto" w:fill="auto"/>
            <w:noWrap/>
            <w:vAlign w:val="center"/>
          </w:tcPr>
          <w:p w:rsidR="005820A9" w:rsidRPr="001F0D3F" w:rsidRDefault="005820A9" w:rsidP="009C314C">
            <w:pPr>
              <w:jc w:val="center"/>
              <w:rPr>
                <w:rFonts w:cs="Arial"/>
                <w:color w:val="000000"/>
                <w:sz w:val="14"/>
                <w:szCs w:val="18"/>
              </w:rPr>
            </w:pPr>
            <w:r w:rsidRPr="001F0D3F">
              <w:rPr>
                <w:rFonts w:cs="Arial"/>
                <w:color w:val="000000"/>
                <w:sz w:val="14"/>
                <w:szCs w:val="18"/>
              </w:rPr>
              <w:t xml:space="preserve">Residential </w:t>
            </w:r>
            <w:r w:rsidRPr="001F0D3F">
              <w:rPr>
                <w:rFonts w:cs="Arial"/>
                <w:color w:val="000000"/>
                <w:sz w:val="14"/>
                <w:szCs w:val="18"/>
              </w:rPr>
              <w:br/>
              <w:t>Furnace</w:t>
            </w:r>
          </w:p>
        </w:tc>
        <w:tc>
          <w:tcPr>
            <w:tcW w:w="1041" w:type="dxa"/>
            <w:shd w:val="clear" w:color="auto" w:fill="auto"/>
            <w:noWrap/>
            <w:vAlign w:val="center"/>
          </w:tcPr>
          <w:p w:rsidR="005820A9" w:rsidRPr="001F0D3F" w:rsidRDefault="005820A9" w:rsidP="009C314C">
            <w:pPr>
              <w:jc w:val="center"/>
              <w:rPr>
                <w:rFonts w:cs="Arial"/>
                <w:color w:val="000000"/>
                <w:sz w:val="14"/>
                <w:szCs w:val="18"/>
              </w:rPr>
            </w:pPr>
            <w:r w:rsidRPr="001F0D3F">
              <w:rPr>
                <w:rFonts w:cs="Arial"/>
                <w:color w:val="000000"/>
                <w:sz w:val="14"/>
                <w:szCs w:val="18"/>
              </w:rPr>
              <w:t>RobNc</w:t>
            </w:r>
          </w:p>
        </w:tc>
        <w:tc>
          <w:tcPr>
            <w:tcW w:w="961" w:type="dxa"/>
            <w:shd w:val="clear" w:color="auto" w:fill="auto"/>
            <w:noWrap/>
            <w:vAlign w:val="center"/>
          </w:tcPr>
          <w:p w:rsidR="005820A9" w:rsidRPr="001F0D3F" w:rsidRDefault="00D00EFC" w:rsidP="005848F6">
            <w:pPr>
              <w:jc w:val="center"/>
              <w:rPr>
                <w:rFonts w:cs="Arial"/>
                <w:color w:val="000000"/>
                <w:sz w:val="14"/>
                <w:szCs w:val="18"/>
              </w:rPr>
            </w:pPr>
            <w:r w:rsidRPr="001F0D3F">
              <w:rPr>
                <w:rFonts w:cs="Arial"/>
                <w:color w:val="000000"/>
                <w:sz w:val="14"/>
                <w:szCs w:val="18"/>
              </w:rPr>
              <w:t>$113</w:t>
            </w:r>
            <w:r w:rsidR="00AD0F2D">
              <w:rPr>
                <w:rFonts w:cs="Arial"/>
                <w:color w:val="000000"/>
                <w:sz w:val="14"/>
                <w:szCs w:val="18"/>
              </w:rPr>
              <w:t>.30</w:t>
            </w:r>
            <w:r w:rsidR="005820A9" w:rsidRPr="001F0D3F">
              <w:rPr>
                <w:rFonts w:cs="Arial"/>
                <w:color w:val="000000"/>
                <w:sz w:val="14"/>
                <w:szCs w:val="18"/>
              </w:rPr>
              <w:t xml:space="preserve"> </w:t>
            </w:r>
          </w:p>
        </w:tc>
        <w:tc>
          <w:tcPr>
            <w:tcW w:w="900" w:type="dxa"/>
            <w:vAlign w:val="center"/>
          </w:tcPr>
          <w:p w:rsidR="005820A9" w:rsidRPr="001F0D3F" w:rsidRDefault="0039316D">
            <w:pPr>
              <w:jc w:val="center"/>
              <w:rPr>
                <w:rFonts w:cs="Arial"/>
                <w:color w:val="000000"/>
                <w:sz w:val="14"/>
                <w:szCs w:val="18"/>
              </w:rPr>
            </w:pPr>
            <w:r>
              <w:rPr>
                <w:rFonts w:cs="Arial"/>
                <w:color w:val="000000"/>
                <w:sz w:val="14"/>
                <w:szCs w:val="18"/>
              </w:rPr>
              <w:t>12.2</w:t>
            </w:r>
          </w:p>
        </w:tc>
        <w:tc>
          <w:tcPr>
            <w:tcW w:w="990" w:type="dxa"/>
            <w:vAlign w:val="center"/>
          </w:tcPr>
          <w:p w:rsidR="005820A9" w:rsidRPr="001F0D3F" w:rsidRDefault="005820A9" w:rsidP="005848F6">
            <w:pPr>
              <w:jc w:val="center"/>
              <w:rPr>
                <w:rFonts w:cs="Arial"/>
                <w:color w:val="000000"/>
                <w:sz w:val="14"/>
                <w:szCs w:val="18"/>
              </w:rPr>
            </w:pPr>
            <w:r w:rsidRPr="001F0D3F">
              <w:rPr>
                <w:rFonts w:cs="Arial"/>
                <w:color w:val="000000"/>
                <w:sz w:val="14"/>
                <w:szCs w:val="18"/>
              </w:rPr>
              <w:t>N/A</w:t>
            </w:r>
          </w:p>
        </w:tc>
        <w:tc>
          <w:tcPr>
            <w:tcW w:w="900" w:type="dxa"/>
            <w:vAlign w:val="center"/>
          </w:tcPr>
          <w:p w:rsidR="005820A9" w:rsidRPr="001F0D3F" w:rsidRDefault="005820A9" w:rsidP="005848F6">
            <w:pPr>
              <w:jc w:val="center"/>
              <w:rPr>
                <w:rFonts w:cs="Arial"/>
                <w:color w:val="000000"/>
                <w:sz w:val="14"/>
                <w:szCs w:val="18"/>
              </w:rPr>
            </w:pPr>
            <w:r w:rsidRPr="001F0D3F">
              <w:rPr>
                <w:rFonts w:cs="Arial"/>
                <w:color w:val="000000"/>
                <w:sz w:val="14"/>
                <w:szCs w:val="18"/>
              </w:rPr>
              <w:t>N/A</w:t>
            </w:r>
          </w:p>
        </w:tc>
        <w:tc>
          <w:tcPr>
            <w:tcW w:w="900" w:type="dxa"/>
            <w:vAlign w:val="center"/>
          </w:tcPr>
          <w:p w:rsidR="005820A9" w:rsidRPr="001F0D3F" w:rsidRDefault="005820A9" w:rsidP="005848F6">
            <w:pPr>
              <w:jc w:val="center"/>
              <w:rPr>
                <w:rFonts w:cs="Arial"/>
                <w:color w:val="000000"/>
                <w:sz w:val="14"/>
                <w:szCs w:val="18"/>
              </w:rPr>
            </w:pPr>
            <w:r w:rsidRPr="001F0D3F">
              <w:rPr>
                <w:rFonts w:cs="Arial"/>
                <w:color w:val="000000"/>
                <w:sz w:val="14"/>
                <w:szCs w:val="18"/>
              </w:rPr>
              <w:t>N/A</w:t>
            </w:r>
          </w:p>
        </w:tc>
        <w:tc>
          <w:tcPr>
            <w:tcW w:w="990" w:type="dxa"/>
            <w:vAlign w:val="center"/>
          </w:tcPr>
          <w:p w:rsidR="005820A9" w:rsidRPr="001F0D3F" w:rsidRDefault="005820A9" w:rsidP="005848F6">
            <w:pPr>
              <w:jc w:val="center"/>
              <w:rPr>
                <w:sz w:val="14"/>
              </w:rPr>
            </w:pPr>
            <w:r w:rsidRPr="001F0D3F">
              <w:rPr>
                <w:sz w:val="14"/>
              </w:rPr>
              <w:t>1.0</w:t>
            </w:r>
          </w:p>
        </w:tc>
      </w:tr>
      <w:tr w:rsidR="005820A9" w:rsidRPr="001F0D3F" w:rsidTr="00A408A4">
        <w:trPr>
          <w:trHeight w:val="172"/>
          <w:jc w:val="center"/>
        </w:trPr>
        <w:tc>
          <w:tcPr>
            <w:tcW w:w="2812" w:type="dxa"/>
            <w:shd w:val="clear" w:color="auto" w:fill="auto"/>
            <w:noWrap/>
            <w:vAlign w:val="center"/>
          </w:tcPr>
          <w:p w:rsidR="00D00EFC" w:rsidRPr="001F0D3F" w:rsidRDefault="00D00EFC" w:rsidP="00D00EFC">
            <w:pPr>
              <w:jc w:val="center"/>
              <w:rPr>
                <w:rFonts w:cs="Arial"/>
                <w:color w:val="000000"/>
                <w:sz w:val="14"/>
                <w:szCs w:val="18"/>
              </w:rPr>
            </w:pPr>
            <w:r w:rsidRPr="001F0D3F">
              <w:rPr>
                <w:rFonts w:cs="Arial"/>
                <w:color w:val="000000"/>
                <w:sz w:val="14"/>
                <w:szCs w:val="18"/>
              </w:rPr>
              <w:t>Efficient Central Furnace, 95% AFUE,</w:t>
            </w:r>
          </w:p>
          <w:p w:rsidR="005820A9" w:rsidRPr="001F0D3F" w:rsidRDefault="00D00EFC" w:rsidP="00D00EFC">
            <w:pPr>
              <w:jc w:val="center"/>
              <w:rPr>
                <w:rFonts w:cs="Arial"/>
                <w:color w:val="000000"/>
                <w:sz w:val="14"/>
                <w:szCs w:val="18"/>
              </w:rPr>
            </w:pPr>
            <w:r w:rsidRPr="001F0D3F">
              <w:rPr>
                <w:rFonts w:cs="Arial"/>
                <w:color w:val="000000"/>
                <w:sz w:val="14"/>
                <w:szCs w:val="18"/>
              </w:rPr>
              <w:t>(Res-GasFurnace-AFUE95,SFm,Existing,IOU)</w:t>
            </w:r>
          </w:p>
        </w:tc>
        <w:tc>
          <w:tcPr>
            <w:tcW w:w="630" w:type="dxa"/>
            <w:vAlign w:val="center"/>
          </w:tcPr>
          <w:p w:rsidR="005820A9" w:rsidRPr="001F0D3F" w:rsidRDefault="005820A9" w:rsidP="005820A9">
            <w:pPr>
              <w:jc w:val="center"/>
              <w:rPr>
                <w:sz w:val="14"/>
                <w:szCs w:val="18"/>
              </w:rPr>
            </w:pPr>
            <w:r w:rsidRPr="001F0D3F">
              <w:rPr>
                <w:sz w:val="14"/>
                <w:szCs w:val="18"/>
              </w:rPr>
              <w:t>SCG</w:t>
            </w:r>
          </w:p>
        </w:tc>
        <w:tc>
          <w:tcPr>
            <w:tcW w:w="720" w:type="dxa"/>
            <w:shd w:val="clear" w:color="auto" w:fill="auto"/>
            <w:noWrap/>
            <w:vAlign w:val="center"/>
          </w:tcPr>
          <w:p w:rsidR="005820A9" w:rsidRPr="001F0D3F" w:rsidRDefault="00C942B8">
            <w:pPr>
              <w:jc w:val="center"/>
              <w:rPr>
                <w:rFonts w:cs="Arial"/>
                <w:color w:val="000000"/>
                <w:sz w:val="14"/>
                <w:szCs w:val="18"/>
              </w:rPr>
            </w:pPr>
            <w:r>
              <w:rPr>
                <w:rFonts w:cs="Arial"/>
                <w:color w:val="000000"/>
                <w:sz w:val="14"/>
                <w:szCs w:val="18"/>
              </w:rPr>
              <w:t>IOU</w:t>
            </w:r>
          </w:p>
        </w:tc>
        <w:tc>
          <w:tcPr>
            <w:tcW w:w="652" w:type="dxa"/>
            <w:shd w:val="clear" w:color="auto" w:fill="auto"/>
            <w:vAlign w:val="center"/>
          </w:tcPr>
          <w:p w:rsidR="005820A9" w:rsidRPr="001F0D3F" w:rsidRDefault="005820A9" w:rsidP="00F53918">
            <w:pPr>
              <w:jc w:val="center"/>
              <w:rPr>
                <w:sz w:val="14"/>
              </w:rPr>
            </w:pPr>
            <w:r w:rsidRPr="001F0D3F">
              <w:rPr>
                <w:rFonts w:cs="Arial"/>
                <w:color w:val="000000"/>
                <w:sz w:val="14"/>
                <w:szCs w:val="18"/>
              </w:rPr>
              <w:t>SFm</w:t>
            </w:r>
          </w:p>
        </w:tc>
        <w:tc>
          <w:tcPr>
            <w:tcW w:w="990" w:type="dxa"/>
            <w:shd w:val="clear" w:color="auto" w:fill="auto"/>
            <w:vAlign w:val="center"/>
          </w:tcPr>
          <w:p w:rsidR="005820A9" w:rsidRPr="001F0D3F" w:rsidRDefault="005820A9" w:rsidP="00BC2743">
            <w:pPr>
              <w:jc w:val="center"/>
              <w:rPr>
                <w:rFonts w:cs="Arial"/>
                <w:color w:val="000000"/>
                <w:sz w:val="14"/>
                <w:szCs w:val="18"/>
              </w:rPr>
            </w:pPr>
            <w:r w:rsidRPr="001F0D3F">
              <w:rPr>
                <w:rFonts w:cs="Arial"/>
                <w:color w:val="000000"/>
                <w:sz w:val="14"/>
                <w:szCs w:val="18"/>
              </w:rPr>
              <w:t xml:space="preserve">20 </w:t>
            </w:r>
            <w:r w:rsidRPr="001F0D3F">
              <w:rPr>
                <w:rFonts w:cs="Arial"/>
                <w:color w:val="000000"/>
                <w:sz w:val="14"/>
                <w:szCs w:val="18"/>
              </w:rPr>
              <w:br/>
              <w:t>(HV-EffFurn)</w:t>
            </w:r>
          </w:p>
        </w:tc>
        <w:tc>
          <w:tcPr>
            <w:tcW w:w="1148" w:type="dxa"/>
            <w:shd w:val="clear" w:color="auto" w:fill="auto"/>
            <w:vAlign w:val="center"/>
          </w:tcPr>
          <w:p w:rsidR="005820A9" w:rsidRPr="001F0D3F" w:rsidRDefault="00DE7F9A" w:rsidP="008544D9">
            <w:pPr>
              <w:jc w:val="center"/>
              <w:rPr>
                <w:sz w:val="14"/>
              </w:rPr>
            </w:pPr>
            <w:r w:rsidRPr="001F0D3F">
              <w:rPr>
                <w:rFonts w:cs="Arial"/>
                <w:color w:val="000000"/>
                <w:sz w:val="14"/>
                <w:szCs w:val="18"/>
              </w:rPr>
              <w:t>0.55</w:t>
            </w:r>
            <w:r w:rsidRPr="001F0D3F">
              <w:rPr>
                <w:rFonts w:cs="Arial"/>
                <w:color w:val="000000"/>
                <w:sz w:val="14"/>
                <w:szCs w:val="18"/>
              </w:rPr>
              <w:br/>
              <w:t>(Res-Default&gt;2)</w:t>
            </w:r>
          </w:p>
        </w:tc>
        <w:tc>
          <w:tcPr>
            <w:tcW w:w="1170" w:type="dxa"/>
            <w:shd w:val="clear" w:color="auto" w:fill="auto"/>
            <w:noWrap/>
            <w:vAlign w:val="center"/>
          </w:tcPr>
          <w:p w:rsidR="005820A9" w:rsidRPr="001F0D3F" w:rsidRDefault="005820A9" w:rsidP="00BC2743">
            <w:pPr>
              <w:jc w:val="center"/>
              <w:rPr>
                <w:rFonts w:cs="Arial"/>
                <w:color w:val="000000"/>
                <w:sz w:val="14"/>
                <w:szCs w:val="18"/>
              </w:rPr>
            </w:pPr>
            <w:r w:rsidRPr="001F0D3F">
              <w:rPr>
                <w:rFonts w:cs="Arial"/>
                <w:color w:val="000000"/>
                <w:sz w:val="14"/>
                <w:szCs w:val="18"/>
              </w:rPr>
              <w:t xml:space="preserve">Residential </w:t>
            </w:r>
            <w:r w:rsidRPr="001F0D3F">
              <w:rPr>
                <w:rFonts w:cs="Arial"/>
                <w:color w:val="000000"/>
                <w:sz w:val="14"/>
                <w:szCs w:val="18"/>
              </w:rPr>
              <w:br/>
              <w:t>Furnace</w:t>
            </w:r>
          </w:p>
        </w:tc>
        <w:tc>
          <w:tcPr>
            <w:tcW w:w="1041" w:type="dxa"/>
            <w:shd w:val="clear" w:color="auto" w:fill="auto"/>
            <w:noWrap/>
            <w:vAlign w:val="center"/>
          </w:tcPr>
          <w:p w:rsidR="005820A9" w:rsidRPr="001F0D3F" w:rsidRDefault="005820A9" w:rsidP="00BC2743">
            <w:pPr>
              <w:jc w:val="center"/>
              <w:rPr>
                <w:rFonts w:cs="Arial"/>
                <w:color w:val="000000"/>
                <w:sz w:val="14"/>
                <w:szCs w:val="18"/>
              </w:rPr>
            </w:pPr>
            <w:r w:rsidRPr="001F0D3F">
              <w:rPr>
                <w:rFonts w:cs="Arial"/>
                <w:color w:val="000000"/>
                <w:sz w:val="14"/>
                <w:szCs w:val="18"/>
              </w:rPr>
              <w:t>RobNc</w:t>
            </w:r>
          </w:p>
        </w:tc>
        <w:tc>
          <w:tcPr>
            <w:tcW w:w="961" w:type="dxa"/>
            <w:shd w:val="clear" w:color="auto" w:fill="auto"/>
            <w:noWrap/>
            <w:vAlign w:val="center"/>
          </w:tcPr>
          <w:p w:rsidR="005820A9" w:rsidRPr="001F0D3F" w:rsidRDefault="00D00EFC" w:rsidP="003B329F">
            <w:pPr>
              <w:jc w:val="center"/>
              <w:rPr>
                <w:rFonts w:cs="Arial"/>
                <w:color w:val="000000"/>
                <w:sz w:val="14"/>
                <w:szCs w:val="18"/>
              </w:rPr>
            </w:pPr>
            <w:r w:rsidRPr="001F0D3F">
              <w:rPr>
                <w:rFonts w:cs="Arial"/>
                <w:color w:val="000000"/>
                <w:sz w:val="14"/>
                <w:szCs w:val="18"/>
              </w:rPr>
              <w:t>$</w:t>
            </w:r>
            <w:r w:rsidR="003B329F">
              <w:rPr>
                <w:rFonts w:cs="Arial"/>
                <w:color w:val="000000"/>
                <w:sz w:val="14"/>
                <w:szCs w:val="18"/>
              </w:rPr>
              <w:t>441</w:t>
            </w:r>
            <w:r w:rsidR="00AD0F2D">
              <w:rPr>
                <w:rFonts w:cs="Arial"/>
                <w:color w:val="000000"/>
                <w:sz w:val="14"/>
                <w:szCs w:val="18"/>
              </w:rPr>
              <w:t>.55</w:t>
            </w:r>
            <w:r w:rsidR="005820A9" w:rsidRPr="001F0D3F">
              <w:rPr>
                <w:rFonts w:cs="Arial"/>
                <w:color w:val="000000"/>
                <w:sz w:val="14"/>
                <w:szCs w:val="18"/>
              </w:rPr>
              <w:t xml:space="preserve"> </w:t>
            </w:r>
          </w:p>
        </w:tc>
        <w:tc>
          <w:tcPr>
            <w:tcW w:w="900" w:type="dxa"/>
            <w:vAlign w:val="center"/>
          </w:tcPr>
          <w:p w:rsidR="00CA5F39" w:rsidRPr="001F0D3F" w:rsidRDefault="0039316D" w:rsidP="00CA5F39">
            <w:pPr>
              <w:jc w:val="center"/>
              <w:rPr>
                <w:rFonts w:cs="Arial"/>
                <w:color w:val="000000"/>
                <w:sz w:val="14"/>
                <w:szCs w:val="18"/>
              </w:rPr>
            </w:pPr>
            <w:r>
              <w:rPr>
                <w:rFonts w:cs="Arial"/>
                <w:color w:val="000000"/>
                <w:sz w:val="14"/>
                <w:szCs w:val="18"/>
              </w:rPr>
              <w:t>27.2</w:t>
            </w:r>
          </w:p>
        </w:tc>
        <w:tc>
          <w:tcPr>
            <w:tcW w:w="990" w:type="dxa"/>
            <w:vAlign w:val="center"/>
          </w:tcPr>
          <w:p w:rsidR="005820A9" w:rsidRPr="001F0D3F" w:rsidRDefault="005820A9" w:rsidP="005848F6">
            <w:pPr>
              <w:jc w:val="center"/>
              <w:rPr>
                <w:rFonts w:cs="Arial"/>
                <w:color w:val="000000"/>
                <w:sz w:val="14"/>
                <w:szCs w:val="18"/>
              </w:rPr>
            </w:pPr>
            <w:r w:rsidRPr="001F0D3F">
              <w:rPr>
                <w:rFonts w:cs="Arial"/>
                <w:color w:val="000000"/>
                <w:sz w:val="14"/>
                <w:szCs w:val="18"/>
              </w:rPr>
              <w:t>N/A</w:t>
            </w:r>
          </w:p>
        </w:tc>
        <w:tc>
          <w:tcPr>
            <w:tcW w:w="900" w:type="dxa"/>
            <w:vAlign w:val="center"/>
          </w:tcPr>
          <w:p w:rsidR="005820A9" w:rsidRPr="001F0D3F" w:rsidRDefault="005820A9" w:rsidP="005848F6">
            <w:pPr>
              <w:jc w:val="center"/>
              <w:rPr>
                <w:rFonts w:cs="Arial"/>
                <w:color w:val="000000"/>
                <w:sz w:val="14"/>
                <w:szCs w:val="18"/>
              </w:rPr>
            </w:pPr>
            <w:r w:rsidRPr="001F0D3F">
              <w:rPr>
                <w:rFonts w:cs="Arial"/>
                <w:color w:val="000000"/>
                <w:sz w:val="14"/>
                <w:szCs w:val="18"/>
              </w:rPr>
              <w:t>N/A</w:t>
            </w:r>
          </w:p>
        </w:tc>
        <w:tc>
          <w:tcPr>
            <w:tcW w:w="900" w:type="dxa"/>
            <w:vAlign w:val="center"/>
          </w:tcPr>
          <w:p w:rsidR="005820A9" w:rsidRPr="001F0D3F" w:rsidRDefault="005820A9" w:rsidP="005848F6">
            <w:pPr>
              <w:jc w:val="center"/>
              <w:rPr>
                <w:rFonts w:cs="Arial"/>
                <w:color w:val="000000"/>
                <w:sz w:val="14"/>
                <w:szCs w:val="18"/>
              </w:rPr>
            </w:pPr>
            <w:r w:rsidRPr="001F0D3F">
              <w:rPr>
                <w:rFonts w:cs="Arial"/>
                <w:color w:val="000000"/>
                <w:sz w:val="14"/>
                <w:szCs w:val="18"/>
              </w:rPr>
              <w:t>N/A</w:t>
            </w:r>
          </w:p>
        </w:tc>
        <w:tc>
          <w:tcPr>
            <w:tcW w:w="990" w:type="dxa"/>
            <w:vAlign w:val="center"/>
          </w:tcPr>
          <w:p w:rsidR="005820A9" w:rsidRPr="001F0D3F" w:rsidRDefault="005820A9" w:rsidP="005848F6">
            <w:pPr>
              <w:jc w:val="center"/>
              <w:rPr>
                <w:sz w:val="14"/>
              </w:rPr>
            </w:pPr>
            <w:r w:rsidRPr="001F0D3F">
              <w:rPr>
                <w:sz w:val="14"/>
              </w:rPr>
              <w:t>1.0</w:t>
            </w:r>
          </w:p>
        </w:tc>
      </w:tr>
      <w:tr w:rsidR="005820A9" w:rsidRPr="001F0D3F" w:rsidTr="00A408A4">
        <w:trPr>
          <w:trHeight w:val="172"/>
          <w:jc w:val="center"/>
        </w:trPr>
        <w:tc>
          <w:tcPr>
            <w:tcW w:w="2812" w:type="dxa"/>
            <w:shd w:val="clear" w:color="auto" w:fill="auto"/>
            <w:noWrap/>
            <w:vAlign w:val="center"/>
          </w:tcPr>
          <w:p w:rsidR="00D00EFC" w:rsidRPr="001F0D3F" w:rsidRDefault="00D00EFC" w:rsidP="00D00EFC">
            <w:pPr>
              <w:jc w:val="center"/>
              <w:rPr>
                <w:rFonts w:cs="Arial"/>
                <w:color w:val="000000"/>
                <w:sz w:val="14"/>
                <w:szCs w:val="18"/>
              </w:rPr>
            </w:pPr>
            <w:r w:rsidRPr="001F0D3F">
              <w:rPr>
                <w:rFonts w:cs="Arial"/>
                <w:color w:val="000000"/>
                <w:sz w:val="14"/>
                <w:szCs w:val="18"/>
              </w:rPr>
              <w:t>Efficient Central Furnace, 95% AFUE,</w:t>
            </w:r>
          </w:p>
          <w:p w:rsidR="005820A9" w:rsidRPr="001F0D3F" w:rsidRDefault="00D00EFC" w:rsidP="00D00EFC">
            <w:pPr>
              <w:jc w:val="center"/>
              <w:rPr>
                <w:rFonts w:cs="Arial"/>
                <w:color w:val="000000"/>
                <w:sz w:val="14"/>
                <w:szCs w:val="18"/>
              </w:rPr>
            </w:pPr>
            <w:r w:rsidRPr="001F0D3F">
              <w:rPr>
                <w:rFonts w:cs="Arial"/>
                <w:color w:val="000000"/>
                <w:sz w:val="14"/>
                <w:szCs w:val="18"/>
              </w:rPr>
              <w:t>(Res-GasFurnace-AFUE95,MFm,Existing,IOU)</w:t>
            </w:r>
          </w:p>
        </w:tc>
        <w:tc>
          <w:tcPr>
            <w:tcW w:w="630" w:type="dxa"/>
            <w:vAlign w:val="center"/>
          </w:tcPr>
          <w:p w:rsidR="005820A9" w:rsidRPr="001F0D3F" w:rsidRDefault="005820A9" w:rsidP="005820A9">
            <w:pPr>
              <w:jc w:val="center"/>
              <w:rPr>
                <w:sz w:val="14"/>
                <w:szCs w:val="18"/>
              </w:rPr>
            </w:pPr>
            <w:r w:rsidRPr="001F0D3F">
              <w:rPr>
                <w:sz w:val="14"/>
                <w:szCs w:val="18"/>
              </w:rPr>
              <w:t>SCG</w:t>
            </w:r>
          </w:p>
        </w:tc>
        <w:tc>
          <w:tcPr>
            <w:tcW w:w="720" w:type="dxa"/>
            <w:shd w:val="clear" w:color="auto" w:fill="auto"/>
            <w:noWrap/>
            <w:vAlign w:val="center"/>
          </w:tcPr>
          <w:p w:rsidR="005820A9" w:rsidRPr="001F0D3F" w:rsidRDefault="00C942B8">
            <w:pPr>
              <w:jc w:val="center"/>
              <w:rPr>
                <w:rFonts w:cs="Arial"/>
                <w:color w:val="000000"/>
                <w:sz w:val="14"/>
                <w:szCs w:val="18"/>
              </w:rPr>
            </w:pPr>
            <w:r>
              <w:rPr>
                <w:rFonts w:cs="Arial"/>
                <w:color w:val="000000"/>
                <w:sz w:val="14"/>
                <w:szCs w:val="18"/>
              </w:rPr>
              <w:t>IOU</w:t>
            </w:r>
          </w:p>
        </w:tc>
        <w:tc>
          <w:tcPr>
            <w:tcW w:w="652" w:type="dxa"/>
            <w:shd w:val="clear" w:color="auto" w:fill="auto"/>
            <w:vAlign w:val="center"/>
          </w:tcPr>
          <w:p w:rsidR="005820A9" w:rsidRPr="001F0D3F" w:rsidRDefault="00D00EFC" w:rsidP="00F53918">
            <w:pPr>
              <w:jc w:val="center"/>
              <w:rPr>
                <w:sz w:val="14"/>
              </w:rPr>
            </w:pPr>
            <w:r w:rsidRPr="001F0D3F">
              <w:rPr>
                <w:rFonts w:cs="Arial"/>
                <w:color w:val="000000"/>
                <w:sz w:val="14"/>
                <w:szCs w:val="18"/>
              </w:rPr>
              <w:t>MFm</w:t>
            </w:r>
          </w:p>
        </w:tc>
        <w:tc>
          <w:tcPr>
            <w:tcW w:w="990" w:type="dxa"/>
            <w:shd w:val="clear" w:color="auto" w:fill="auto"/>
            <w:vAlign w:val="center"/>
          </w:tcPr>
          <w:p w:rsidR="005820A9" w:rsidRPr="001F0D3F" w:rsidRDefault="005820A9" w:rsidP="00BC2743">
            <w:pPr>
              <w:jc w:val="center"/>
              <w:rPr>
                <w:rFonts w:cs="Arial"/>
                <w:color w:val="000000"/>
                <w:sz w:val="14"/>
                <w:szCs w:val="18"/>
              </w:rPr>
            </w:pPr>
            <w:r w:rsidRPr="001F0D3F">
              <w:rPr>
                <w:rFonts w:cs="Arial"/>
                <w:color w:val="000000"/>
                <w:sz w:val="14"/>
                <w:szCs w:val="18"/>
              </w:rPr>
              <w:t xml:space="preserve">20 </w:t>
            </w:r>
            <w:r w:rsidRPr="001F0D3F">
              <w:rPr>
                <w:rFonts w:cs="Arial"/>
                <w:color w:val="000000"/>
                <w:sz w:val="14"/>
                <w:szCs w:val="18"/>
              </w:rPr>
              <w:br/>
              <w:t>(HV-EffFurn)</w:t>
            </w:r>
          </w:p>
        </w:tc>
        <w:tc>
          <w:tcPr>
            <w:tcW w:w="1148" w:type="dxa"/>
            <w:shd w:val="clear" w:color="auto" w:fill="auto"/>
            <w:vAlign w:val="center"/>
          </w:tcPr>
          <w:p w:rsidR="005820A9" w:rsidRPr="001F0D3F" w:rsidRDefault="00DE7F9A" w:rsidP="00734100">
            <w:pPr>
              <w:jc w:val="center"/>
              <w:rPr>
                <w:sz w:val="14"/>
              </w:rPr>
            </w:pPr>
            <w:r w:rsidRPr="001F0D3F">
              <w:rPr>
                <w:rFonts w:cs="Arial"/>
                <w:color w:val="000000"/>
                <w:sz w:val="14"/>
                <w:szCs w:val="18"/>
              </w:rPr>
              <w:t>0.55</w:t>
            </w:r>
            <w:r w:rsidRPr="001F0D3F">
              <w:rPr>
                <w:rFonts w:cs="Arial"/>
                <w:color w:val="000000"/>
                <w:sz w:val="14"/>
                <w:szCs w:val="18"/>
              </w:rPr>
              <w:br/>
              <w:t>(Res-Default&gt;2)</w:t>
            </w:r>
          </w:p>
        </w:tc>
        <w:tc>
          <w:tcPr>
            <w:tcW w:w="1170" w:type="dxa"/>
            <w:shd w:val="clear" w:color="auto" w:fill="auto"/>
            <w:noWrap/>
            <w:vAlign w:val="center"/>
          </w:tcPr>
          <w:p w:rsidR="005820A9" w:rsidRPr="001F0D3F" w:rsidRDefault="005820A9" w:rsidP="00BC2743">
            <w:pPr>
              <w:jc w:val="center"/>
              <w:rPr>
                <w:rFonts w:cs="Arial"/>
                <w:color w:val="000000"/>
                <w:sz w:val="14"/>
                <w:szCs w:val="18"/>
              </w:rPr>
            </w:pPr>
            <w:r w:rsidRPr="001F0D3F">
              <w:rPr>
                <w:rFonts w:cs="Arial"/>
                <w:color w:val="000000"/>
                <w:sz w:val="14"/>
                <w:szCs w:val="18"/>
              </w:rPr>
              <w:t xml:space="preserve">Residential </w:t>
            </w:r>
            <w:r w:rsidRPr="001F0D3F">
              <w:rPr>
                <w:rFonts w:cs="Arial"/>
                <w:color w:val="000000"/>
                <w:sz w:val="14"/>
                <w:szCs w:val="18"/>
              </w:rPr>
              <w:br/>
              <w:t>Furnace</w:t>
            </w:r>
          </w:p>
        </w:tc>
        <w:tc>
          <w:tcPr>
            <w:tcW w:w="1041" w:type="dxa"/>
            <w:shd w:val="clear" w:color="auto" w:fill="auto"/>
            <w:noWrap/>
            <w:vAlign w:val="center"/>
          </w:tcPr>
          <w:p w:rsidR="005820A9" w:rsidRPr="001F0D3F" w:rsidRDefault="005820A9" w:rsidP="00BC2743">
            <w:pPr>
              <w:jc w:val="center"/>
              <w:rPr>
                <w:rFonts w:cs="Arial"/>
                <w:color w:val="000000"/>
                <w:sz w:val="14"/>
                <w:szCs w:val="18"/>
              </w:rPr>
            </w:pPr>
            <w:r w:rsidRPr="001F0D3F">
              <w:rPr>
                <w:rFonts w:cs="Arial"/>
                <w:color w:val="000000"/>
                <w:sz w:val="14"/>
                <w:szCs w:val="18"/>
              </w:rPr>
              <w:t>RobNc</w:t>
            </w:r>
          </w:p>
        </w:tc>
        <w:tc>
          <w:tcPr>
            <w:tcW w:w="961" w:type="dxa"/>
            <w:shd w:val="clear" w:color="auto" w:fill="auto"/>
            <w:noWrap/>
            <w:vAlign w:val="center"/>
          </w:tcPr>
          <w:p w:rsidR="005820A9" w:rsidRPr="001F0D3F" w:rsidRDefault="00AD0F2D" w:rsidP="005848F6">
            <w:pPr>
              <w:jc w:val="center"/>
              <w:rPr>
                <w:rFonts w:cs="Arial"/>
                <w:color w:val="000000"/>
                <w:sz w:val="14"/>
                <w:szCs w:val="18"/>
              </w:rPr>
            </w:pPr>
            <w:r>
              <w:rPr>
                <w:rFonts w:cs="Arial"/>
                <w:color w:val="000000"/>
                <w:sz w:val="14"/>
                <w:szCs w:val="18"/>
              </w:rPr>
              <w:t>$221.81</w:t>
            </w:r>
            <w:r w:rsidR="005820A9" w:rsidRPr="001F0D3F">
              <w:rPr>
                <w:rFonts w:cs="Arial"/>
                <w:color w:val="000000"/>
                <w:sz w:val="14"/>
                <w:szCs w:val="18"/>
              </w:rPr>
              <w:t xml:space="preserve"> </w:t>
            </w:r>
          </w:p>
        </w:tc>
        <w:tc>
          <w:tcPr>
            <w:tcW w:w="900" w:type="dxa"/>
            <w:vAlign w:val="center"/>
          </w:tcPr>
          <w:p w:rsidR="005820A9" w:rsidRPr="001F0D3F" w:rsidRDefault="00D92F00">
            <w:pPr>
              <w:jc w:val="center"/>
              <w:rPr>
                <w:rFonts w:cs="Arial"/>
                <w:color w:val="000000"/>
                <w:sz w:val="14"/>
                <w:szCs w:val="18"/>
              </w:rPr>
            </w:pPr>
            <w:r>
              <w:rPr>
                <w:rFonts w:cs="Arial"/>
                <w:color w:val="000000"/>
                <w:sz w:val="14"/>
                <w:szCs w:val="18"/>
              </w:rPr>
              <w:t>1</w:t>
            </w:r>
            <w:r w:rsidR="0039316D">
              <w:rPr>
                <w:rFonts w:cs="Arial"/>
                <w:color w:val="000000"/>
                <w:sz w:val="14"/>
                <w:szCs w:val="18"/>
              </w:rPr>
              <w:t>1.5</w:t>
            </w:r>
          </w:p>
        </w:tc>
        <w:tc>
          <w:tcPr>
            <w:tcW w:w="990" w:type="dxa"/>
            <w:vAlign w:val="center"/>
          </w:tcPr>
          <w:p w:rsidR="005820A9" w:rsidRPr="001F0D3F" w:rsidRDefault="005820A9" w:rsidP="005848F6">
            <w:pPr>
              <w:jc w:val="center"/>
              <w:rPr>
                <w:rFonts w:cs="Arial"/>
                <w:color w:val="000000"/>
                <w:sz w:val="14"/>
                <w:szCs w:val="18"/>
              </w:rPr>
            </w:pPr>
            <w:r w:rsidRPr="001F0D3F">
              <w:rPr>
                <w:rFonts w:cs="Arial"/>
                <w:color w:val="000000"/>
                <w:sz w:val="14"/>
                <w:szCs w:val="18"/>
              </w:rPr>
              <w:t>N/A</w:t>
            </w:r>
          </w:p>
        </w:tc>
        <w:tc>
          <w:tcPr>
            <w:tcW w:w="900" w:type="dxa"/>
            <w:vAlign w:val="center"/>
          </w:tcPr>
          <w:p w:rsidR="005820A9" w:rsidRPr="001F0D3F" w:rsidRDefault="005820A9" w:rsidP="005848F6">
            <w:pPr>
              <w:jc w:val="center"/>
              <w:rPr>
                <w:rFonts w:cs="Arial"/>
                <w:color w:val="000000"/>
                <w:sz w:val="14"/>
                <w:szCs w:val="18"/>
              </w:rPr>
            </w:pPr>
            <w:r w:rsidRPr="001F0D3F">
              <w:rPr>
                <w:rFonts w:cs="Arial"/>
                <w:color w:val="000000"/>
                <w:sz w:val="14"/>
                <w:szCs w:val="18"/>
              </w:rPr>
              <w:t>N/A</w:t>
            </w:r>
          </w:p>
        </w:tc>
        <w:tc>
          <w:tcPr>
            <w:tcW w:w="900" w:type="dxa"/>
            <w:vAlign w:val="center"/>
          </w:tcPr>
          <w:p w:rsidR="005820A9" w:rsidRPr="001F0D3F" w:rsidRDefault="005820A9" w:rsidP="005848F6">
            <w:pPr>
              <w:jc w:val="center"/>
              <w:rPr>
                <w:rFonts w:cs="Arial"/>
                <w:color w:val="000000"/>
                <w:sz w:val="14"/>
                <w:szCs w:val="18"/>
              </w:rPr>
            </w:pPr>
            <w:r w:rsidRPr="001F0D3F">
              <w:rPr>
                <w:rFonts w:cs="Arial"/>
                <w:color w:val="000000"/>
                <w:sz w:val="14"/>
                <w:szCs w:val="18"/>
              </w:rPr>
              <w:t>N/A</w:t>
            </w:r>
          </w:p>
        </w:tc>
        <w:tc>
          <w:tcPr>
            <w:tcW w:w="990" w:type="dxa"/>
            <w:vAlign w:val="center"/>
          </w:tcPr>
          <w:p w:rsidR="005820A9" w:rsidRPr="001F0D3F" w:rsidRDefault="005820A9" w:rsidP="005848F6">
            <w:pPr>
              <w:jc w:val="center"/>
              <w:rPr>
                <w:sz w:val="14"/>
              </w:rPr>
            </w:pPr>
            <w:r w:rsidRPr="001F0D3F">
              <w:rPr>
                <w:sz w:val="14"/>
              </w:rPr>
              <w:t>1.0</w:t>
            </w:r>
          </w:p>
        </w:tc>
      </w:tr>
      <w:tr w:rsidR="00734100" w:rsidRPr="001F0D3F" w:rsidTr="001F0D3F">
        <w:trPr>
          <w:trHeight w:val="172"/>
          <w:jc w:val="center"/>
        </w:trPr>
        <w:tc>
          <w:tcPr>
            <w:tcW w:w="2812" w:type="dxa"/>
            <w:shd w:val="clear" w:color="auto" w:fill="auto"/>
            <w:noWrap/>
            <w:vAlign w:val="center"/>
          </w:tcPr>
          <w:p w:rsidR="00734100" w:rsidRPr="001F0D3F" w:rsidRDefault="00734100" w:rsidP="0039490C">
            <w:pPr>
              <w:jc w:val="center"/>
              <w:rPr>
                <w:rFonts w:cs="Arial"/>
                <w:color w:val="000000"/>
                <w:sz w:val="14"/>
                <w:szCs w:val="18"/>
              </w:rPr>
            </w:pPr>
            <w:r w:rsidRPr="001F0D3F">
              <w:rPr>
                <w:rFonts w:cs="Arial"/>
                <w:color w:val="000000"/>
                <w:sz w:val="14"/>
                <w:szCs w:val="18"/>
              </w:rPr>
              <w:t>Efficient Central Furnace, 95% AFUE,</w:t>
            </w:r>
          </w:p>
          <w:p w:rsidR="00734100" w:rsidRPr="001F0D3F" w:rsidRDefault="00734100" w:rsidP="0039490C">
            <w:pPr>
              <w:jc w:val="center"/>
              <w:rPr>
                <w:rFonts w:cs="Arial"/>
                <w:color w:val="000000"/>
                <w:sz w:val="14"/>
                <w:szCs w:val="18"/>
              </w:rPr>
            </w:pPr>
            <w:r w:rsidRPr="001F0D3F">
              <w:rPr>
                <w:rFonts w:cs="Arial"/>
                <w:color w:val="000000"/>
                <w:sz w:val="14"/>
                <w:szCs w:val="18"/>
              </w:rPr>
              <w:t>(Res-GasFurnace-AFUE95,DMo,Existing,IOU)</w:t>
            </w:r>
          </w:p>
        </w:tc>
        <w:tc>
          <w:tcPr>
            <w:tcW w:w="630" w:type="dxa"/>
            <w:vAlign w:val="center"/>
          </w:tcPr>
          <w:p w:rsidR="00734100" w:rsidRPr="001F0D3F" w:rsidRDefault="00734100" w:rsidP="0039490C">
            <w:pPr>
              <w:jc w:val="center"/>
              <w:rPr>
                <w:sz w:val="14"/>
                <w:szCs w:val="18"/>
              </w:rPr>
            </w:pPr>
            <w:r w:rsidRPr="001F0D3F">
              <w:rPr>
                <w:sz w:val="14"/>
                <w:szCs w:val="18"/>
              </w:rPr>
              <w:t>SCG</w:t>
            </w:r>
          </w:p>
        </w:tc>
        <w:tc>
          <w:tcPr>
            <w:tcW w:w="720" w:type="dxa"/>
            <w:shd w:val="clear" w:color="auto" w:fill="auto"/>
            <w:noWrap/>
            <w:vAlign w:val="center"/>
          </w:tcPr>
          <w:p w:rsidR="00734100" w:rsidRPr="001F0D3F" w:rsidRDefault="00C942B8" w:rsidP="0039490C">
            <w:pPr>
              <w:jc w:val="center"/>
              <w:rPr>
                <w:rFonts w:cs="Arial"/>
                <w:color w:val="000000"/>
                <w:sz w:val="14"/>
                <w:szCs w:val="18"/>
              </w:rPr>
            </w:pPr>
            <w:r>
              <w:rPr>
                <w:rFonts w:cs="Arial"/>
                <w:color w:val="000000"/>
                <w:sz w:val="14"/>
                <w:szCs w:val="18"/>
              </w:rPr>
              <w:t>IOU</w:t>
            </w:r>
          </w:p>
        </w:tc>
        <w:tc>
          <w:tcPr>
            <w:tcW w:w="652" w:type="dxa"/>
            <w:shd w:val="clear" w:color="auto" w:fill="auto"/>
            <w:vAlign w:val="center"/>
          </w:tcPr>
          <w:p w:rsidR="00734100" w:rsidRPr="001F0D3F" w:rsidRDefault="00734100" w:rsidP="0039490C">
            <w:pPr>
              <w:jc w:val="center"/>
              <w:rPr>
                <w:sz w:val="14"/>
              </w:rPr>
            </w:pPr>
            <w:r w:rsidRPr="001F0D3F">
              <w:rPr>
                <w:rFonts w:cs="Arial"/>
                <w:color w:val="000000"/>
                <w:sz w:val="14"/>
                <w:szCs w:val="18"/>
              </w:rPr>
              <w:t>DMo</w:t>
            </w:r>
          </w:p>
        </w:tc>
        <w:tc>
          <w:tcPr>
            <w:tcW w:w="990" w:type="dxa"/>
            <w:shd w:val="clear" w:color="auto" w:fill="auto"/>
            <w:vAlign w:val="center"/>
          </w:tcPr>
          <w:p w:rsidR="00734100" w:rsidRPr="001F0D3F" w:rsidRDefault="00734100" w:rsidP="0039490C">
            <w:pPr>
              <w:jc w:val="center"/>
              <w:rPr>
                <w:rFonts w:cs="Arial"/>
                <w:color w:val="000000"/>
                <w:sz w:val="14"/>
                <w:szCs w:val="18"/>
              </w:rPr>
            </w:pPr>
            <w:r w:rsidRPr="001F0D3F">
              <w:rPr>
                <w:rFonts w:cs="Arial"/>
                <w:color w:val="000000"/>
                <w:sz w:val="14"/>
                <w:szCs w:val="18"/>
              </w:rPr>
              <w:t xml:space="preserve">20 </w:t>
            </w:r>
            <w:r w:rsidRPr="001F0D3F">
              <w:rPr>
                <w:rFonts w:cs="Arial"/>
                <w:color w:val="000000"/>
                <w:sz w:val="14"/>
                <w:szCs w:val="18"/>
              </w:rPr>
              <w:br/>
              <w:t>(HV-EffFurn)</w:t>
            </w:r>
          </w:p>
        </w:tc>
        <w:tc>
          <w:tcPr>
            <w:tcW w:w="1148" w:type="dxa"/>
            <w:shd w:val="clear" w:color="auto" w:fill="auto"/>
            <w:vAlign w:val="center"/>
          </w:tcPr>
          <w:p w:rsidR="00734100" w:rsidRPr="001F0D3F" w:rsidRDefault="00DE7F9A" w:rsidP="0039490C">
            <w:pPr>
              <w:jc w:val="center"/>
              <w:rPr>
                <w:sz w:val="14"/>
              </w:rPr>
            </w:pPr>
            <w:r w:rsidRPr="001F0D3F">
              <w:rPr>
                <w:rFonts w:cs="Arial"/>
                <w:color w:val="000000"/>
                <w:sz w:val="14"/>
                <w:szCs w:val="18"/>
              </w:rPr>
              <w:t>0.55</w:t>
            </w:r>
            <w:r w:rsidRPr="001F0D3F">
              <w:rPr>
                <w:rFonts w:cs="Arial"/>
                <w:color w:val="000000"/>
                <w:sz w:val="14"/>
                <w:szCs w:val="18"/>
              </w:rPr>
              <w:br/>
              <w:t>(Res-Default&gt;2)</w:t>
            </w:r>
          </w:p>
        </w:tc>
        <w:tc>
          <w:tcPr>
            <w:tcW w:w="1170" w:type="dxa"/>
            <w:shd w:val="clear" w:color="auto" w:fill="auto"/>
            <w:noWrap/>
            <w:vAlign w:val="center"/>
          </w:tcPr>
          <w:p w:rsidR="00734100" w:rsidRPr="001F0D3F" w:rsidRDefault="00734100" w:rsidP="0039490C">
            <w:pPr>
              <w:jc w:val="center"/>
              <w:rPr>
                <w:rFonts w:cs="Arial"/>
                <w:color w:val="000000"/>
                <w:sz w:val="14"/>
                <w:szCs w:val="18"/>
              </w:rPr>
            </w:pPr>
            <w:r w:rsidRPr="001F0D3F">
              <w:rPr>
                <w:rFonts w:cs="Arial"/>
                <w:color w:val="000000"/>
                <w:sz w:val="14"/>
                <w:szCs w:val="18"/>
              </w:rPr>
              <w:t xml:space="preserve">Residential </w:t>
            </w:r>
            <w:r w:rsidRPr="001F0D3F">
              <w:rPr>
                <w:rFonts w:cs="Arial"/>
                <w:color w:val="000000"/>
                <w:sz w:val="14"/>
                <w:szCs w:val="18"/>
              </w:rPr>
              <w:br/>
              <w:t>Furnace</w:t>
            </w:r>
          </w:p>
        </w:tc>
        <w:tc>
          <w:tcPr>
            <w:tcW w:w="1041" w:type="dxa"/>
            <w:shd w:val="clear" w:color="auto" w:fill="auto"/>
            <w:noWrap/>
            <w:vAlign w:val="center"/>
          </w:tcPr>
          <w:p w:rsidR="00734100" w:rsidRPr="001F0D3F" w:rsidRDefault="00734100" w:rsidP="0039490C">
            <w:pPr>
              <w:jc w:val="center"/>
              <w:rPr>
                <w:rFonts w:cs="Arial"/>
                <w:color w:val="000000"/>
                <w:sz w:val="14"/>
                <w:szCs w:val="18"/>
              </w:rPr>
            </w:pPr>
            <w:r w:rsidRPr="001F0D3F">
              <w:rPr>
                <w:rFonts w:cs="Arial"/>
                <w:color w:val="000000"/>
                <w:sz w:val="14"/>
                <w:szCs w:val="18"/>
              </w:rPr>
              <w:t>RobNc</w:t>
            </w:r>
          </w:p>
        </w:tc>
        <w:tc>
          <w:tcPr>
            <w:tcW w:w="961" w:type="dxa"/>
            <w:shd w:val="clear" w:color="auto" w:fill="auto"/>
            <w:noWrap/>
            <w:vAlign w:val="center"/>
          </w:tcPr>
          <w:p w:rsidR="00734100" w:rsidRPr="001F0D3F" w:rsidRDefault="003B329F" w:rsidP="0039490C">
            <w:pPr>
              <w:jc w:val="center"/>
              <w:rPr>
                <w:rFonts w:cs="Arial"/>
                <w:color w:val="000000"/>
                <w:sz w:val="14"/>
                <w:szCs w:val="18"/>
              </w:rPr>
            </w:pPr>
            <w:r>
              <w:rPr>
                <w:rFonts w:cs="Arial"/>
                <w:color w:val="000000"/>
                <w:sz w:val="14"/>
                <w:szCs w:val="18"/>
              </w:rPr>
              <w:t>$380</w:t>
            </w:r>
            <w:r w:rsidR="00AD0F2D">
              <w:rPr>
                <w:rFonts w:cs="Arial"/>
                <w:color w:val="000000"/>
                <w:sz w:val="14"/>
                <w:szCs w:val="18"/>
              </w:rPr>
              <w:t>.05</w:t>
            </w:r>
            <w:r w:rsidR="00734100" w:rsidRPr="001F0D3F">
              <w:rPr>
                <w:rFonts w:cs="Arial"/>
                <w:color w:val="000000"/>
                <w:sz w:val="14"/>
                <w:szCs w:val="18"/>
              </w:rPr>
              <w:t xml:space="preserve"> </w:t>
            </w:r>
          </w:p>
        </w:tc>
        <w:tc>
          <w:tcPr>
            <w:tcW w:w="900" w:type="dxa"/>
            <w:vAlign w:val="center"/>
          </w:tcPr>
          <w:p w:rsidR="00734100" w:rsidRPr="001F0D3F" w:rsidRDefault="0039316D" w:rsidP="0039490C">
            <w:pPr>
              <w:jc w:val="center"/>
              <w:rPr>
                <w:rFonts w:cs="Arial"/>
                <w:color w:val="000000"/>
                <w:sz w:val="14"/>
                <w:szCs w:val="18"/>
              </w:rPr>
            </w:pPr>
            <w:r>
              <w:rPr>
                <w:rFonts w:cs="Arial"/>
                <w:color w:val="000000"/>
                <w:sz w:val="14"/>
                <w:szCs w:val="18"/>
              </w:rPr>
              <w:t>15.2</w:t>
            </w:r>
          </w:p>
        </w:tc>
        <w:tc>
          <w:tcPr>
            <w:tcW w:w="990" w:type="dxa"/>
            <w:vAlign w:val="center"/>
          </w:tcPr>
          <w:p w:rsidR="00734100" w:rsidRPr="001F0D3F" w:rsidRDefault="00734100" w:rsidP="0039490C">
            <w:pPr>
              <w:jc w:val="center"/>
              <w:rPr>
                <w:rFonts w:cs="Arial"/>
                <w:color w:val="000000"/>
                <w:sz w:val="14"/>
                <w:szCs w:val="18"/>
              </w:rPr>
            </w:pPr>
            <w:r w:rsidRPr="001F0D3F">
              <w:rPr>
                <w:rFonts w:cs="Arial"/>
                <w:color w:val="000000"/>
                <w:sz w:val="14"/>
                <w:szCs w:val="18"/>
              </w:rPr>
              <w:t>N/A</w:t>
            </w:r>
          </w:p>
        </w:tc>
        <w:tc>
          <w:tcPr>
            <w:tcW w:w="900" w:type="dxa"/>
            <w:vAlign w:val="center"/>
          </w:tcPr>
          <w:p w:rsidR="00734100" w:rsidRPr="001F0D3F" w:rsidRDefault="00734100" w:rsidP="0039490C">
            <w:pPr>
              <w:jc w:val="center"/>
              <w:rPr>
                <w:rFonts w:cs="Arial"/>
                <w:color w:val="000000"/>
                <w:sz w:val="14"/>
                <w:szCs w:val="18"/>
              </w:rPr>
            </w:pPr>
            <w:r w:rsidRPr="001F0D3F">
              <w:rPr>
                <w:rFonts w:cs="Arial"/>
                <w:color w:val="000000"/>
                <w:sz w:val="14"/>
                <w:szCs w:val="18"/>
              </w:rPr>
              <w:t>N/A</w:t>
            </w:r>
          </w:p>
        </w:tc>
        <w:tc>
          <w:tcPr>
            <w:tcW w:w="900" w:type="dxa"/>
            <w:vAlign w:val="center"/>
          </w:tcPr>
          <w:p w:rsidR="00734100" w:rsidRPr="001F0D3F" w:rsidRDefault="00734100" w:rsidP="0039490C">
            <w:pPr>
              <w:jc w:val="center"/>
              <w:rPr>
                <w:rFonts w:cs="Arial"/>
                <w:color w:val="000000"/>
                <w:sz w:val="14"/>
                <w:szCs w:val="18"/>
              </w:rPr>
            </w:pPr>
            <w:r w:rsidRPr="001F0D3F">
              <w:rPr>
                <w:rFonts w:cs="Arial"/>
                <w:color w:val="000000"/>
                <w:sz w:val="14"/>
                <w:szCs w:val="18"/>
              </w:rPr>
              <w:t>N/A</w:t>
            </w:r>
          </w:p>
        </w:tc>
        <w:tc>
          <w:tcPr>
            <w:tcW w:w="990" w:type="dxa"/>
            <w:vAlign w:val="center"/>
          </w:tcPr>
          <w:p w:rsidR="00734100" w:rsidRPr="001F0D3F" w:rsidRDefault="00734100" w:rsidP="0039490C">
            <w:pPr>
              <w:jc w:val="center"/>
              <w:rPr>
                <w:sz w:val="14"/>
              </w:rPr>
            </w:pPr>
            <w:r w:rsidRPr="001F0D3F">
              <w:rPr>
                <w:sz w:val="14"/>
              </w:rPr>
              <w:t>1.0</w:t>
            </w:r>
          </w:p>
        </w:tc>
      </w:tr>
      <w:tr w:rsidR="001F0D3F" w:rsidRPr="001F0D3F" w:rsidTr="001F0D3F">
        <w:trPr>
          <w:trHeight w:val="172"/>
          <w:jc w:val="center"/>
        </w:trPr>
        <w:tc>
          <w:tcPr>
            <w:tcW w:w="2812" w:type="dxa"/>
            <w:shd w:val="clear" w:color="auto" w:fill="auto"/>
            <w:noWrap/>
            <w:vAlign w:val="center"/>
          </w:tcPr>
          <w:p w:rsidR="001F0D3F" w:rsidRPr="001F0D3F" w:rsidRDefault="001F0D3F">
            <w:pPr>
              <w:jc w:val="center"/>
              <w:rPr>
                <w:rFonts w:cs="Arial"/>
                <w:color w:val="000000"/>
                <w:sz w:val="14"/>
                <w:szCs w:val="18"/>
              </w:rPr>
            </w:pPr>
            <w:r w:rsidRPr="001F0D3F">
              <w:rPr>
                <w:rFonts w:cs="Arial"/>
                <w:color w:val="000000"/>
                <w:sz w:val="14"/>
                <w:szCs w:val="18"/>
              </w:rPr>
              <w:t>Efficient Central Furnace, 96% AFUE,</w:t>
            </w:r>
            <w:r w:rsidRPr="001F0D3F">
              <w:rPr>
                <w:rFonts w:cs="Arial"/>
                <w:color w:val="000000"/>
                <w:sz w:val="14"/>
                <w:szCs w:val="18"/>
              </w:rPr>
              <w:br/>
              <w:t>(Res-GasFurnace-AFUE96,SFm,Existing,SCG-IOU)</w:t>
            </w:r>
          </w:p>
        </w:tc>
        <w:tc>
          <w:tcPr>
            <w:tcW w:w="630" w:type="dxa"/>
            <w:vAlign w:val="center"/>
          </w:tcPr>
          <w:p w:rsidR="001F0D3F" w:rsidRPr="001F0D3F" w:rsidRDefault="001F0D3F">
            <w:pPr>
              <w:jc w:val="center"/>
              <w:rPr>
                <w:rFonts w:cs="Arial"/>
                <w:color w:val="000000"/>
                <w:sz w:val="14"/>
                <w:szCs w:val="18"/>
              </w:rPr>
            </w:pPr>
            <w:r w:rsidRPr="001F0D3F">
              <w:rPr>
                <w:rFonts w:cs="Arial"/>
                <w:color w:val="000000"/>
                <w:sz w:val="14"/>
                <w:szCs w:val="18"/>
              </w:rPr>
              <w:t>SCG</w:t>
            </w:r>
          </w:p>
        </w:tc>
        <w:tc>
          <w:tcPr>
            <w:tcW w:w="720" w:type="dxa"/>
            <w:shd w:val="clear" w:color="auto" w:fill="auto"/>
            <w:noWrap/>
            <w:vAlign w:val="center"/>
          </w:tcPr>
          <w:p w:rsidR="001F0D3F" w:rsidRPr="001F0D3F" w:rsidRDefault="00C942B8">
            <w:pPr>
              <w:jc w:val="center"/>
              <w:rPr>
                <w:rFonts w:cs="Arial"/>
                <w:color w:val="000000"/>
                <w:sz w:val="14"/>
                <w:szCs w:val="18"/>
              </w:rPr>
            </w:pPr>
            <w:r>
              <w:rPr>
                <w:rFonts w:cs="Arial"/>
                <w:color w:val="000000"/>
                <w:sz w:val="14"/>
                <w:szCs w:val="18"/>
              </w:rPr>
              <w:t>IOU</w:t>
            </w:r>
          </w:p>
        </w:tc>
        <w:tc>
          <w:tcPr>
            <w:tcW w:w="652" w:type="dxa"/>
            <w:shd w:val="clear" w:color="auto" w:fill="auto"/>
            <w:vAlign w:val="center"/>
          </w:tcPr>
          <w:p w:rsidR="001F0D3F" w:rsidRPr="001F0D3F" w:rsidRDefault="001F0D3F" w:rsidP="001F0D3F">
            <w:pPr>
              <w:rPr>
                <w:rFonts w:cs="Arial"/>
                <w:color w:val="000000"/>
                <w:sz w:val="14"/>
                <w:szCs w:val="18"/>
              </w:rPr>
            </w:pPr>
            <w:r w:rsidRPr="001F0D3F">
              <w:rPr>
                <w:rFonts w:cs="Arial"/>
                <w:color w:val="000000"/>
                <w:sz w:val="14"/>
                <w:szCs w:val="18"/>
              </w:rPr>
              <w:t>SFm</w:t>
            </w:r>
          </w:p>
        </w:tc>
        <w:tc>
          <w:tcPr>
            <w:tcW w:w="990" w:type="dxa"/>
            <w:shd w:val="clear" w:color="auto" w:fill="auto"/>
            <w:vAlign w:val="center"/>
          </w:tcPr>
          <w:p w:rsidR="001F0D3F" w:rsidRPr="001F0D3F" w:rsidRDefault="001F0D3F" w:rsidP="001F0D3F">
            <w:pPr>
              <w:jc w:val="center"/>
              <w:rPr>
                <w:rFonts w:cs="Arial"/>
                <w:color w:val="000000"/>
                <w:sz w:val="14"/>
                <w:szCs w:val="18"/>
              </w:rPr>
            </w:pPr>
            <w:r w:rsidRPr="001F0D3F">
              <w:rPr>
                <w:rFonts w:cs="Arial"/>
                <w:color w:val="000000"/>
                <w:sz w:val="14"/>
                <w:szCs w:val="18"/>
              </w:rPr>
              <w:t>20</w:t>
            </w:r>
            <w:r w:rsidRPr="001F0D3F">
              <w:rPr>
                <w:rFonts w:cs="Arial"/>
                <w:color w:val="000000"/>
                <w:sz w:val="14"/>
                <w:szCs w:val="18"/>
              </w:rPr>
              <w:br/>
              <w:t>(HV-EffFurn)</w:t>
            </w:r>
          </w:p>
          <w:p w:rsidR="001F0D3F" w:rsidRPr="001F0D3F" w:rsidRDefault="001F0D3F">
            <w:pPr>
              <w:jc w:val="center"/>
              <w:rPr>
                <w:rFonts w:cs="Arial"/>
                <w:color w:val="000000"/>
                <w:sz w:val="14"/>
                <w:szCs w:val="18"/>
              </w:rPr>
            </w:pPr>
          </w:p>
        </w:tc>
        <w:tc>
          <w:tcPr>
            <w:tcW w:w="1148" w:type="dxa"/>
            <w:shd w:val="clear" w:color="auto" w:fill="auto"/>
            <w:vAlign w:val="center"/>
          </w:tcPr>
          <w:p w:rsidR="001F0D3F" w:rsidRPr="001F0D3F" w:rsidRDefault="00DE7F9A">
            <w:pPr>
              <w:jc w:val="center"/>
              <w:rPr>
                <w:rFonts w:cs="Arial"/>
                <w:color w:val="000000"/>
                <w:sz w:val="14"/>
                <w:szCs w:val="18"/>
              </w:rPr>
            </w:pPr>
            <w:r w:rsidRPr="001F0D3F">
              <w:rPr>
                <w:rFonts w:cs="Arial"/>
                <w:color w:val="000000"/>
                <w:sz w:val="14"/>
                <w:szCs w:val="18"/>
              </w:rPr>
              <w:t>0.55</w:t>
            </w:r>
            <w:r w:rsidRPr="001F0D3F">
              <w:rPr>
                <w:rFonts w:cs="Arial"/>
                <w:color w:val="000000"/>
                <w:sz w:val="14"/>
                <w:szCs w:val="18"/>
              </w:rPr>
              <w:br/>
              <w:t>(Res-Default&gt;2)</w:t>
            </w:r>
          </w:p>
        </w:tc>
        <w:tc>
          <w:tcPr>
            <w:tcW w:w="1170" w:type="dxa"/>
            <w:shd w:val="clear" w:color="auto" w:fill="auto"/>
            <w:noWrap/>
            <w:vAlign w:val="center"/>
          </w:tcPr>
          <w:p w:rsidR="001F0D3F" w:rsidRPr="001F0D3F" w:rsidRDefault="001F0D3F">
            <w:pPr>
              <w:jc w:val="center"/>
              <w:rPr>
                <w:rFonts w:cs="Arial"/>
                <w:color w:val="000000"/>
                <w:sz w:val="14"/>
                <w:szCs w:val="18"/>
              </w:rPr>
            </w:pPr>
            <w:r w:rsidRPr="001F0D3F">
              <w:rPr>
                <w:rFonts w:cs="Arial"/>
                <w:color w:val="000000"/>
                <w:sz w:val="14"/>
                <w:szCs w:val="18"/>
              </w:rPr>
              <w:t xml:space="preserve">Residential </w:t>
            </w:r>
            <w:r w:rsidRPr="001F0D3F">
              <w:rPr>
                <w:rFonts w:cs="Arial"/>
                <w:color w:val="000000"/>
                <w:sz w:val="14"/>
                <w:szCs w:val="18"/>
              </w:rPr>
              <w:br/>
              <w:t>Furnace</w:t>
            </w:r>
          </w:p>
        </w:tc>
        <w:tc>
          <w:tcPr>
            <w:tcW w:w="1041" w:type="dxa"/>
            <w:shd w:val="clear" w:color="auto" w:fill="auto"/>
            <w:noWrap/>
            <w:vAlign w:val="center"/>
          </w:tcPr>
          <w:p w:rsidR="001F0D3F" w:rsidRPr="001F0D3F" w:rsidRDefault="001F0D3F">
            <w:pPr>
              <w:jc w:val="center"/>
              <w:rPr>
                <w:rFonts w:cs="Arial"/>
                <w:color w:val="000000"/>
                <w:sz w:val="14"/>
                <w:szCs w:val="18"/>
              </w:rPr>
            </w:pPr>
            <w:r w:rsidRPr="001F0D3F">
              <w:rPr>
                <w:rFonts w:cs="Arial"/>
                <w:color w:val="000000"/>
                <w:sz w:val="14"/>
                <w:szCs w:val="18"/>
              </w:rPr>
              <w:t>RobNc</w:t>
            </w:r>
          </w:p>
        </w:tc>
        <w:tc>
          <w:tcPr>
            <w:tcW w:w="961" w:type="dxa"/>
            <w:shd w:val="clear" w:color="auto" w:fill="auto"/>
            <w:noWrap/>
            <w:vAlign w:val="center"/>
          </w:tcPr>
          <w:p w:rsidR="001F0D3F" w:rsidRPr="001F0D3F" w:rsidRDefault="001F0D3F" w:rsidP="001F0D3F">
            <w:pPr>
              <w:jc w:val="center"/>
              <w:rPr>
                <w:rFonts w:cs="Arial"/>
                <w:color w:val="000000"/>
                <w:sz w:val="14"/>
                <w:szCs w:val="18"/>
              </w:rPr>
            </w:pPr>
            <w:r w:rsidRPr="001F0D3F">
              <w:rPr>
                <w:rFonts w:cs="Arial"/>
                <w:color w:val="000000"/>
                <w:sz w:val="14"/>
                <w:szCs w:val="18"/>
              </w:rPr>
              <w:t>$759</w:t>
            </w:r>
            <w:r w:rsidR="00AD0F2D">
              <w:rPr>
                <w:rFonts w:cs="Arial"/>
                <w:color w:val="000000"/>
                <w:sz w:val="14"/>
                <w:szCs w:val="18"/>
              </w:rPr>
              <w:t>.13</w:t>
            </w:r>
          </w:p>
        </w:tc>
        <w:tc>
          <w:tcPr>
            <w:tcW w:w="900" w:type="dxa"/>
            <w:vAlign w:val="center"/>
          </w:tcPr>
          <w:p w:rsidR="001F0D3F" w:rsidRPr="001F0D3F" w:rsidRDefault="0039316D">
            <w:pPr>
              <w:jc w:val="center"/>
              <w:rPr>
                <w:rFonts w:cs="Arial"/>
                <w:color w:val="000000"/>
                <w:sz w:val="14"/>
                <w:szCs w:val="18"/>
              </w:rPr>
            </w:pPr>
            <w:r>
              <w:rPr>
                <w:rFonts w:cs="Arial"/>
                <w:color w:val="000000"/>
                <w:sz w:val="14"/>
                <w:szCs w:val="18"/>
              </w:rPr>
              <w:t>28.9</w:t>
            </w:r>
          </w:p>
        </w:tc>
        <w:tc>
          <w:tcPr>
            <w:tcW w:w="990" w:type="dxa"/>
            <w:vAlign w:val="center"/>
          </w:tcPr>
          <w:p w:rsidR="001F0D3F" w:rsidRPr="001F0D3F" w:rsidRDefault="001F0D3F" w:rsidP="0039490C">
            <w:pPr>
              <w:jc w:val="center"/>
              <w:rPr>
                <w:rFonts w:cs="Arial"/>
                <w:color w:val="000000"/>
                <w:sz w:val="14"/>
                <w:szCs w:val="18"/>
              </w:rPr>
            </w:pPr>
            <w:r w:rsidRPr="001F0D3F">
              <w:rPr>
                <w:rFonts w:cs="Arial"/>
                <w:color w:val="000000"/>
                <w:sz w:val="14"/>
                <w:szCs w:val="18"/>
              </w:rPr>
              <w:t>N/A</w:t>
            </w:r>
          </w:p>
        </w:tc>
        <w:tc>
          <w:tcPr>
            <w:tcW w:w="900" w:type="dxa"/>
            <w:vAlign w:val="center"/>
          </w:tcPr>
          <w:p w:rsidR="001F0D3F" w:rsidRPr="001F0D3F" w:rsidRDefault="001F0D3F" w:rsidP="0039490C">
            <w:pPr>
              <w:jc w:val="center"/>
              <w:rPr>
                <w:rFonts w:cs="Arial"/>
                <w:color w:val="000000"/>
                <w:sz w:val="14"/>
                <w:szCs w:val="18"/>
              </w:rPr>
            </w:pPr>
            <w:r w:rsidRPr="001F0D3F">
              <w:rPr>
                <w:rFonts w:cs="Arial"/>
                <w:color w:val="000000"/>
                <w:sz w:val="14"/>
                <w:szCs w:val="18"/>
              </w:rPr>
              <w:t>N/A</w:t>
            </w:r>
          </w:p>
        </w:tc>
        <w:tc>
          <w:tcPr>
            <w:tcW w:w="900" w:type="dxa"/>
            <w:vAlign w:val="center"/>
          </w:tcPr>
          <w:p w:rsidR="001F0D3F" w:rsidRPr="001F0D3F" w:rsidRDefault="001F0D3F" w:rsidP="0039490C">
            <w:pPr>
              <w:jc w:val="center"/>
              <w:rPr>
                <w:rFonts w:cs="Arial"/>
                <w:color w:val="000000"/>
                <w:sz w:val="14"/>
                <w:szCs w:val="18"/>
              </w:rPr>
            </w:pPr>
            <w:r w:rsidRPr="001F0D3F">
              <w:rPr>
                <w:rFonts w:cs="Arial"/>
                <w:color w:val="000000"/>
                <w:sz w:val="14"/>
                <w:szCs w:val="18"/>
              </w:rPr>
              <w:t>N/A</w:t>
            </w:r>
          </w:p>
        </w:tc>
        <w:tc>
          <w:tcPr>
            <w:tcW w:w="990" w:type="dxa"/>
            <w:vAlign w:val="center"/>
          </w:tcPr>
          <w:p w:rsidR="001F0D3F" w:rsidRPr="001F0D3F" w:rsidRDefault="001F0D3F">
            <w:pPr>
              <w:jc w:val="center"/>
              <w:rPr>
                <w:rFonts w:cs="Arial"/>
                <w:color w:val="000000"/>
                <w:sz w:val="14"/>
                <w:szCs w:val="18"/>
              </w:rPr>
            </w:pPr>
            <w:r w:rsidRPr="001F0D3F">
              <w:rPr>
                <w:rFonts w:cs="Arial"/>
                <w:color w:val="000000"/>
                <w:sz w:val="14"/>
                <w:szCs w:val="18"/>
              </w:rPr>
              <w:t>1.0</w:t>
            </w:r>
          </w:p>
        </w:tc>
      </w:tr>
      <w:tr w:rsidR="001F0D3F" w:rsidRPr="001F0D3F" w:rsidTr="00A408A4">
        <w:trPr>
          <w:trHeight w:val="172"/>
          <w:jc w:val="center"/>
        </w:trPr>
        <w:tc>
          <w:tcPr>
            <w:tcW w:w="2812" w:type="dxa"/>
            <w:shd w:val="clear" w:color="auto" w:fill="auto"/>
            <w:noWrap/>
            <w:vAlign w:val="center"/>
          </w:tcPr>
          <w:p w:rsidR="001F0D3F" w:rsidRPr="001F0D3F" w:rsidRDefault="001F0D3F" w:rsidP="008116B0">
            <w:pPr>
              <w:jc w:val="center"/>
              <w:rPr>
                <w:rFonts w:cs="Arial"/>
                <w:color w:val="000000"/>
                <w:sz w:val="14"/>
                <w:szCs w:val="18"/>
              </w:rPr>
            </w:pPr>
            <w:r w:rsidRPr="001F0D3F">
              <w:rPr>
                <w:rFonts w:cs="Arial"/>
                <w:color w:val="000000"/>
                <w:sz w:val="14"/>
                <w:szCs w:val="18"/>
              </w:rPr>
              <w:t>Efficient Central Furnace, 96% AFUE,</w:t>
            </w:r>
            <w:r w:rsidRPr="001F0D3F">
              <w:rPr>
                <w:rFonts w:cs="Arial"/>
                <w:color w:val="000000"/>
                <w:sz w:val="14"/>
                <w:szCs w:val="18"/>
              </w:rPr>
              <w:br/>
              <w:t>(Res-GasFurnace-AFUE96,MFm,Existing,SCG-IOU)</w:t>
            </w:r>
          </w:p>
        </w:tc>
        <w:tc>
          <w:tcPr>
            <w:tcW w:w="630" w:type="dxa"/>
            <w:vAlign w:val="center"/>
          </w:tcPr>
          <w:p w:rsidR="001F0D3F" w:rsidRPr="001F0D3F" w:rsidRDefault="001F0D3F" w:rsidP="0039490C">
            <w:pPr>
              <w:jc w:val="center"/>
              <w:rPr>
                <w:rFonts w:cs="Arial"/>
                <w:color w:val="000000"/>
                <w:sz w:val="14"/>
                <w:szCs w:val="18"/>
              </w:rPr>
            </w:pPr>
            <w:r w:rsidRPr="001F0D3F">
              <w:rPr>
                <w:rFonts w:cs="Arial"/>
                <w:color w:val="000000"/>
                <w:sz w:val="14"/>
                <w:szCs w:val="18"/>
              </w:rPr>
              <w:t>SCG</w:t>
            </w:r>
          </w:p>
        </w:tc>
        <w:tc>
          <w:tcPr>
            <w:tcW w:w="720" w:type="dxa"/>
            <w:shd w:val="clear" w:color="auto" w:fill="auto"/>
            <w:noWrap/>
            <w:vAlign w:val="center"/>
          </w:tcPr>
          <w:p w:rsidR="001F0D3F" w:rsidRPr="001F0D3F" w:rsidRDefault="00C942B8" w:rsidP="0039490C">
            <w:pPr>
              <w:jc w:val="center"/>
              <w:rPr>
                <w:rFonts w:cs="Arial"/>
                <w:color w:val="000000"/>
                <w:sz w:val="14"/>
                <w:szCs w:val="18"/>
              </w:rPr>
            </w:pPr>
            <w:r>
              <w:rPr>
                <w:rFonts w:cs="Arial"/>
                <w:color w:val="000000"/>
                <w:sz w:val="14"/>
                <w:szCs w:val="18"/>
              </w:rPr>
              <w:t>IOU</w:t>
            </w:r>
          </w:p>
        </w:tc>
        <w:tc>
          <w:tcPr>
            <w:tcW w:w="652" w:type="dxa"/>
            <w:shd w:val="clear" w:color="auto" w:fill="auto"/>
            <w:vAlign w:val="center"/>
          </w:tcPr>
          <w:p w:rsidR="001F0D3F" w:rsidRPr="001F0D3F" w:rsidRDefault="001F0D3F" w:rsidP="00F53918">
            <w:pPr>
              <w:jc w:val="center"/>
              <w:rPr>
                <w:rFonts w:cs="Arial"/>
                <w:color w:val="000000"/>
                <w:sz w:val="14"/>
                <w:szCs w:val="18"/>
              </w:rPr>
            </w:pPr>
            <w:r w:rsidRPr="001F0D3F">
              <w:rPr>
                <w:rFonts w:cs="Arial"/>
                <w:color w:val="000000"/>
                <w:sz w:val="14"/>
                <w:szCs w:val="18"/>
              </w:rPr>
              <w:t>MFm</w:t>
            </w:r>
          </w:p>
        </w:tc>
        <w:tc>
          <w:tcPr>
            <w:tcW w:w="990" w:type="dxa"/>
            <w:shd w:val="clear" w:color="auto" w:fill="auto"/>
            <w:vAlign w:val="center"/>
          </w:tcPr>
          <w:p w:rsidR="001F0D3F" w:rsidRPr="001F0D3F" w:rsidRDefault="001F0D3F" w:rsidP="008116B0">
            <w:pPr>
              <w:jc w:val="center"/>
              <w:rPr>
                <w:rFonts w:cs="Arial"/>
                <w:color w:val="000000"/>
                <w:sz w:val="14"/>
                <w:szCs w:val="18"/>
              </w:rPr>
            </w:pPr>
            <w:r w:rsidRPr="001F0D3F">
              <w:rPr>
                <w:rFonts w:cs="Arial"/>
                <w:color w:val="000000"/>
                <w:sz w:val="14"/>
                <w:szCs w:val="18"/>
              </w:rPr>
              <w:t>20</w:t>
            </w:r>
            <w:r w:rsidRPr="001F0D3F">
              <w:rPr>
                <w:rFonts w:cs="Arial"/>
                <w:color w:val="000000"/>
                <w:sz w:val="14"/>
                <w:szCs w:val="18"/>
              </w:rPr>
              <w:br/>
              <w:t>(HV-EffFurn)</w:t>
            </w:r>
          </w:p>
        </w:tc>
        <w:tc>
          <w:tcPr>
            <w:tcW w:w="1148" w:type="dxa"/>
            <w:shd w:val="clear" w:color="auto" w:fill="auto"/>
            <w:vAlign w:val="center"/>
          </w:tcPr>
          <w:p w:rsidR="001F0D3F" w:rsidRPr="001F0D3F" w:rsidRDefault="00DE7F9A" w:rsidP="0039490C">
            <w:pPr>
              <w:jc w:val="center"/>
              <w:rPr>
                <w:rFonts w:cs="Arial"/>
                <w:color w:val="000000"/>
                <w:sz w:val="14"/>
                <w:szCs w:val="18"/>
              </w:rPr>
            </w:pPr>
            <w:r w:rsidRPr="001F0D3F">
              <w:rPr>
                <w:rFonts w:cs="Arial"/>
                <w:color w:val="000000"/>
                <w:sz w:val="14"/>
                <w:szCs w:val="18"/>
              </w:rPr>
              <w:t>0.55</w:t>
            </w:r>
            <w:r w:rsidRPr="001F0D3F">
              <w:rPr>
                <w:rFonts w:cs="Arial"/>
                <w:color w:val="000000"/>
                <w:sz w:val="14"/>
                <w:szCs w:val="18"/>
              </w:rPr>
              <w:br/>
              <w:t>(Res-Default&gt;2)</w:t>
            </w:r>
          </w:p>
        </w:tc>
        <w:tc>
          <w:tcPr>
            <w:tcW w:w="1170" w:type="dxa"/>
            <w:shd w:val="clear" w:color="auto" w:fill="auto"/>
            <w:noWrap/>
            <w:vAlign w:val="center"/>
          </w:tcPr>
          <w:p w:rsidR="001F0D3F" w:rsidRPr="001F0D3F" w:rsidRDefault="001F0D3F" w:rsidP="0039490C">
            <w:pPr>
              <w:jc w:val="center"/>
              <w:rPr>
                <w:rFonts w:cs="Arial"/>
                <w:color w:val="000000"/>
                <w:sz w:val="14"/>
                <w:szCs w:val="18"/>
              </w:rPr>
            </w:pPr>
            <w:r w:rsidRPr="001F0D3F">
              <w:rPr>
                <w:rFonts w:cs="Arial"/>
                <w:color w:val="000000"/>
                <w:sz w:val="14"/>
                <w:szCs w:val="18"/>
              </w:rPr>
              <w:t xml:space="preserve">Residential </w:t>
            </w:r>
            <w:r w:rsidRPr="001F0D3F">
              <w:rPr>
                <w:rFonts w:cs="Arial"/>
                <w:color w:val="000000"/>
                <w:sz w:val="14"/>
                <w:szCs w:val="18"/>
              </w:rPr>
              <w:br/>
              <w:t>Furnace</w:t>
            </w:r>
          </w:p>
        </w:tc>
        <w:tc>
          <w:tcPr>
            <w:tcW w:w="1041" w:type="dxa"/>
            <w:shd w:val="clear" w:color="auto" w:fill="auto"/>
            <w:noWrap/>
            <w:vAlign w:val="center"/>
          </w:tcPr>
          <w:p w:rsidR="001F0D3F" w:rsidRPr="001F0D3F" w:rsidRDefault="001F0D3F" w:rsidP="0039490C">
            <w:pPr>
              <w:jc w:val="center"/>
              <w:rPr>
                <w:rFonts w:cs="Arial"/>
                <w:color w:val="000000"/>
                <w:sz w:val="14"/>
                <w:szCs w:val="18"/>
              </w:rPr>
            </w:pPr>
            <w:r w:rsidRPr="001F0D3F">
              <w:rPr>
                <w:rFonts w:cs="Arial"/>
                <w:color w:val="000000"/>
                <w:sz w:val="14"/>
                <w:szCs w:val="18"/>
              </w:rPr>
              <w:t>RobNc</w:t>
            </w:r>
          </w:p>
        </w:tc>
        <w:tc>
          <w:tcPr>
            <w:tcW w:w="961" w:type="dxa"/>
            <w:shd w:val="clear" w:color="auto" w:fill="auto"/>
            <w:noWrap/>
            <w:vAlign w:val="center"/>
          </w:tcPr>
          <w:p w:rsidR="001F0D3F" w:rsidRPr="001F0D3F" w:rsidRDefault="001F0D3F" w:rsidP="005848F6">
            <w:pPr>
              <w:jc w:val="center"/>
              <w:rPr>
                <w:rFonts w:cs="Arial"/>
                <w:color w:val="000000"/>
                <w:sz w:val="14"/>
                <w:szCs w:val="18"/>
              </w:rPr>
            </w:pPr>
            <w:r w:rsidRPr="001F0D3F">
              <w:rPr>
                <w:rFonts w:cs="Arial"/>
                <w:color w:val="000000"/>
                <w:sz w:val="14"/>
                <w:szCs w:val="18"/>
              </w:rPr>
              <w:t>$38</w:t>
            </w:r>
            <w:r w:rsidR="003B329F">
              <w:rPr>
                <w:rFonts w:cs="Arial"/>
                <w:color w:val="000000"/>
                <w:sz w:val="14"/>
                <w:szCs w:val="18"/>
              </w:rPr>
              <w:t>1</w:t>
            </w:r>
            <w:r w:rsidR="00AD0F2D">
              <w:rPr>
                <w:rFonts w:cs="Arial"/>
                <w:color w:val="000000"/>
                <w:sz w:val="14"/>
                <w:szCs w:val="18"/>
              </w:rPr>
              <w:t>.35</w:t>
            </w:r>
          </w:p>
        </w:tc>
        <w:tc>
          <w:tcPr>
            <w:tcW w:w="900" w:type="dxa"/>
            <w:vAlign w:val="center"/>
          </w:tcPr>
          <w:p w:rsidR="001F0D3F" w:rsidRPr="001F0D3F" w:rsidRDefault="00CA5F39">
            <w:pPr>
              <w:jc w:val="center"/>
              <w:rPr>
                <w:rFonts w:cs="Arial"/>
                <w:color w:val="000000"/>
                <w:sz w:val="14"/>
                <w:szCs w:val="18"/>
              </w:rPr>
            </w:pPr>
            <w:r>
              <w:rPr>
                <w:rFonts w:cs="Arial"/>
                <w:color w:val="000000"/>
                <w:sz w:val="14"/>
                <w:szCs w:val="18"/>
              </w:rPr>
              <w:t>1</w:t>
            </w:r>
            <w:r w:rsidR="00D92F00">
              <w:rPr>
                <w:rFonts w:cs="Arial"/>
                <w:color w:val="000000"/>
                <w:sz w:val="14"/>
                <w:szCs w:val="18"/>
              </w:rPr>
              <w:t>2.</w:t>
            </w:r>
            <w:r w:rsidR="0039316D">
              <w:rPr>
                <w:rFonts w:cs="Arial"/>
                <w:color w:val="000000"/>
                <w:sz w:val="14"/>
                <w:szCs w:val="18"/>
              </w:rPr>
              <w:t>3</w:t>
            </w:r>
          </w:p>
        </w:tc>
        <w:tc>
          <w:tcPr>
            <w:tcW w:w="990" w:type="dxa"/>
            <w:vAlign w:val="center"/>
          </w:tcPr>
          <w:p w:rsidR="001F0D3F" w:rsidRPr="001F0D3F" w:rsidRDefault="001F0D3F" w:rsidP="0039490C">
            <w:pPr>
              <w:jc w:val="center"/>
              <w:rPr>
                <w:rFonts w:cs="Arial"/>
                <w:color w:val="000000"/>
                <w:sz w:val="14"/>
                <w:szCs w:val="18"/>
              </w:rPr>
            </w:pPr>
            <w:r w:rsidRPr="001F0D3F">
              <w:rPr>
                <w:rFonts w:cs="Arial"/>
                <w:color w:val="000000"/>
                <w:sz w:val="14"/>
                <w:szCs w:val="18"/>
              </w:rPr>
              <w:t>N/A</w:t>
            </w:r>
          </w:p>
        </w:tc>
        <w:tc>
          <w:tcPr>
            <w:tcW w:w="900" w:type="dxa"/>
            <w:vAlign w:val="center"/>
          </w:tcPr>
          <w:p w:rsidR="001F0D3F" w:rsidRPr="001F0D3F" w:rsidRDefault="001F0D3F" w:rsidP="0039490C">
            <w:pPr>
              <w:jc w:val="center"/>
              <w:rPr>
                <w:rFonts w:cs="Arial"/>
                <w:color w:val="000000"/>
                <w:sz w:val="14"/>
                <w:szCs w:val="18"/>
              </w:rPr>
            </w:pPr>
            <w:r w:rsidRPr="001F0D3F">
              <w:rPr>
                <w:rFonts w:cs="Arial"/>
                <w:color w:val="000000"/>
                <w:sz w:val="14"/>
                <w:szCs w:val="18"/>
              </w:rPr>
              <w:t>N/A</w:t>
            </w:r>
          </w:p>
        </w:tc>
        <w:tc>
          <w:tcPr>
            <w:tcW w:w="900" w:type="dxa"/>
            <w:vAlign w:val="center"/>
          </w:tcPr>
          <w:p w:rsidR="001F0D3F" w:rsidRPr="001F0D3F" w:rsidRDefault="001F0D3F" w:rsidP="0039490C">
            <w:pPr>
              <w:jc w:val="center"/>
              <w:rPr>
                <w:rFonts w:cs="Arial"/>
                <w:color w:val="000000"/>
                <w:sz w:val="14"/>
                <w:szCs w:val="18"/>
              </w:rPr>
            </w:pPr>
            <w:r w:rsidRPr="001F0D3F">
              <w:rPr>
                <w:rFonts w:cs="Arial"/>
                <w:color w:val="000000"/>
                <w:sz w:val="14"/>
                <w:szCs w:val="18"/>
              </w:rPr>
              <w:t>N/A</w:t>
            </w:r>
          </w:p>
        </w:tc>
        <w:tc>
          <w:tcPr>
            <w:tcW w:w="990" w:type="dxa"/>
            <w:vAlign w:val="center"/>
          </w:tcPr>
          <w:p w:rsidR="001F0D3F" w:rsidRPr="001F0D3F" w:rsidRDefault="001F0D3F" w:rsidP="0039490C">
            <w:pPr>
              <w:jc w:val="center"/>
              <w:rPr>
                <w:rFonts w:cs="Arial"/>
                <w:color w:val="000000"/>
                <w:sz w:val="14"/>
                <w:szCs w:val="18"/>
              </w:rPr>
            </w:pPr>
            <w:r w:rsidRPr="001F0D3F">
              <w:rPr>
                <w:rFonts w:cs="Arial"/>
                <w:color w:val="000000"/>
                <w:sz w:val="14"/>
                <w:szCs w:val="18"/>
              </w:rPr>
              <w:t>1.0</w:t>
            </w:r>
          </w:p>
        </w:tc>
      </w:tr>
      <w:tr w:rsidR="008544D9" w:rsidRPr="001F0D3F" w:rsidTr="00A408A4">
        <w:trPr>
          <w:trHeight w:val="172"/>
          <w:jc w:val="center"/>
        </w:trPr>
        <w:tc>
          <w:tcPr>
            <w:tcW w:w="2812" w:type="dxa"/>
            <w:shd w:val="clear" w:color="auto" w:fill="auto"/>
            <w:noWrap/>
            <w:vAlign w:val="center"/>
          </w:tcPr>
          <w:p w:rsidR="008544D9" w:rsidRPr="001F0D3F" w:rsidRDefault="008544D9" w:rsidP="00D00EFC">
            <w:pPr>
              <w:jc w:val="center"/>
              <w:rPr>
                <w:rFonts w:cs="Arial"/>
                <w:color w:val="000000"/>
                <w:sz w:val="14"/>
                <w:szCs w:val="18"/>
              </w:rPr>
            </w:pPr>
            <w:r w:rsidRPr="001F0D3F">
              <w:rPr>
                <w:rFonts w:cs="Arial"/>
                <w:color w:val="000000"/>
                <w:sz w:val="14"/>
                <w:szCs w:val="18"/>
              </w:rPr>
              <w:t>Efficient Central Furnace, 97% AFUE,</w:t>
            </w:r>
          </w:p>
          <w:p w:rsidR="008544D9" w:rsidRPr="001F0D3F" w:rsidRDefault="008544D9" w:rsidP="00D00EFC">
            <w:pPr>
              <w:jc w:val="center"/>
              <w:rPr>
                <w:rFonts w:cs="Arial"/>
                <w:color w:val="000000"/>
                <w:sz w:val="14"/>
                <w:szCs w:val="18"/>
              </w:rPr>
            </w:pPr>
            <w:r w:rsidRPr="001F0D3F">
              <w:rPr>
                <w:rFonts w:cs="Arial"/>
                <w:color w:val="000000"/>
                <w:sz w:val="14"/>
                <w:szCs w:val="18"/>
              </w:rPr>
              <w:t>(Res-GasFurnace-AFUE97,SFm,Existing,IOU)</w:t>
            </w:r>
          </w:p>
        </w:tc>
        <w:tc>
          <w:tcPr>
            <w:tcW w:w="630" w:type="dxa"/>
            <w:vAlign w:val="center"/>
          </w:tcPr>
          <w:p w:rsidR="008544D9" w:rsidRPr="001F0D3F" w:rsidRDefault="008544D9" w:rsidP="005820A9">
            <w:pPr>
              <w:jc w:val="center"/>
              <w:rPr>
                <w:sz w:val="14"/>
                <w:szCs w:val="18"/>
              </w:rPr>
            </w:pPr>
            <w:r w:rsidRPr="001F0D3F">
              <w:rPr>
                <w:sz w:val="14"/>
                <w:szCs w:val="18"/>
              </w:rPr>
              <w:t>SCG</w:t>
            </w:r>
          </w:p>
        </w:tc>
        <w:tc>
          <w:tcPr>
            <w:tcW w:w="720" w:type="dxa"/>
            <w:shd w:val="clear" w:color="auto" w:fill="auto"/>
            <w:noWrap/>
            <w:vAlign w:val="center"/>
          </w:tcPr>
          <w:p w:rsidR="008544D9" w:rsidRPr="001F0D3F" w:rsidRDefault="00C942B8">
            <w:pPr>
              <w:jc w:val="center"/>
              <w:rPr>
                <w:rFonts w:cs="Arial"/>
                <w:color w:val="000000"/>
                <w:sz w:val="14"/>
                <w:szCs w:val="18"/>
              </w:rPr>
            </w:pPr>
            <w:r>
              <w:rPr>
                <w:rFonts w:cs="Arial"/>
                <w:color w:val="000000"/>
                <w:sz w:val="14"/>
                <w:szCs w:val="18"/>
              </w:rPr>
              <w:t>IOU</w:t>
            </w:r>
          </w:p>
        </w:tc>
        <w:tc>
          <w:tcPr>
            <w:tcW w:w="652" w:type="dxa"/>
            <w:shd w:val="clear" w:color="auto" w:fill="auto"/>
            <w:vAlign w:val="center"/>
          </w:tcPr>
          <w:p w:rsidR="008544D9" w:rsidRPr="001F0D3F" w:rsidRDefault="008544D9" w:rsidP="00F53918">
            <w:pPr>
              <w:jc w:val="center"/>
              <w:rPr>
                <w:sz w:val="14"/>
              </w:rPr>
            </w:pPr>
            <w:r w:rsidRPr="001F0D3F">
              <w:rPr>
                <w:rFonts w:cs="Arial"/>
                <w:color w:val="000000"/>
                <w:sz w:val="14"/>
                <w:szCs w:val="18"/>
              </w:rPr>
              <w:t>SFm</w:t>
            </w:r>
          </w:p>
        </w:tc>
        <w:tc>
          <w:tcPr>
            <w:tcW w:w="990" w:type="dxa"/>
            <w:shd w:val="clear" w:color="auto" w:fill="auto"/>
            <w:vAlign w:val="center"/>
          </w:tcPr>
          <w:p w:rsidR="008544D9" w:rsidRPr="001F0D3F" w:rsidRDefault="008544D9" w:rsidP="00BC2743">
            <w:pPr>
              <w:jc w:val="center"/>
              <w:rPr>
                <w:rFonts w:cs="Arial"/>
                <w:color w:val="000000"/>
                <w:sz w:val="14"/>
                <w:szCs w:val="18"/>
              </w:rPr>
            </w:pPr>
            <w:r w:rsidRPr="001F0D3F">
              <w:rPr>
                <w:rFonts w:cs="Arial"/>
                <w:color w:val="000000"/>
                <w:sz w:val="14"/>
                <w:szCs w:val="18"/>
              </w:rPr>
              <w:t xml:space="preserve">20 </w:t>
            </w:r>
            <w:r w:rsidRPr="001F0D3F">
              <w:rPr>
                <w:rFonts w:cs="Arial"/>
                <w:color w:val="000000"/>
                <w:sz w:val="14"/>
                <w:szCs w:val="18"/>
              </w:rPr>
              <w:br/>
              <w:t>(HV-EffFurn)</w:t>
            </w:r>
          </w:p>
        </w:tc>
        <w:tc>
          <w:tcPr>
            <w:tcW w:w="1148" w:type="dxa"/>
            <w:shd w:val="clear" w:color="auto" w:fill="auto"/>
            <w:vAlign w:val="center"/>
          </w:tcPr>
          <w:p w:rsidR="008544D9" w:rsidRPr="001F0D3F" w:rsidRDefault="00DE7F9A" w:rsidP="00DE7F9A">
            <w:pPr>
              <w:jc w:val="center"/>
              <w:rPr>
                <w:rFonts w:cs="Arial"/>
                <w:color w:val="000000"/>
                <w:sz w:val="14"/>
                <w:szCs w:val="18"/>
              </w:rPr>
            </w:pPr>
            <w:r w:rsidRPr="001F0D3F">
              <w:rPr>
                <w:rFonts w:cs="Arial"/>
                <w:color w:val="000000"/>
                <w:sz w:val="14"/>
                <w:szCs w:val="18"/>
              </w:rPr>
              <w:t>0.55</w:t>
            </w:r>
            <w:r w:rsidRPr="001F0D3F">
              <w:rPr>
                <w:rFonts w:cs="Arial"/>
                <w:color w:val="000000"/>
                <w:sz w:val="14"/>
                <w:szCs w:val="18"/>
              </w:rPr>
              <w:br/>
              <w:t>(Res-Default&gt;2)</w:t>
            </w:r>
          </w:p>
        </w:tc>
        <w:tc>
          <w:tcPr>
            <w:tcW w:w="1170" w:type="dxa"/>
            <w:shd w:val="clear" w:color="auto" w:fill="auto"/>
            <w:noWrap/>
            <w:vAlign w:val="center"/>
          </w:tcPr>
          <w:p w:rsidR="008544D9" w:rsidRPr="001F0D3F" w:rsidRDefault="008544D9" w:rsidP="00BC2743">
            <w:pPr>
              <w:jc w:val="center"/>
              <w:rPr>
                <w:rFonts w:cs="Arial"/>
                <w:color w:val="000000"/>
                <w:sz w:val="14"/>
                <w:szCs w:val="18"/>
              </w:rPr>
            </w:pPr>
            <w:r w:rsidRPr="001F0D3F">
              <w:rPr>
                <w:rFonts w:cs="Arial"/>
                <w:color w:val="000000"/>
                <w:sz w:val="14"/>
                <w:szCs w:val="18"/>
              </w:rPr>
              <w:t xml:space="preserve">Residential </w:t>
            </w:r>
            <w:r w:rsidRPr="001F0D3F">
              <w:rPr>
                <w:rFonts w:cs="Arial"/>
                <w:color w:val="000000"/>
                <w:sz w:val="14"/>
                <w:szCs w:val="18"/>
              </w:rPr>
              <w:br/>
              <w:t>Furnace</w:t>
            </w:r>
          </w:p>
        </w:tc>
        <w:tc>
          <w:tcPr>
            <w:tcW w:w="1041" w:type="dxa"/>
            <w:shd w:val="clear" w:color="auto" w:fill="auto"/>
            <w:noWrap/>
            <w:vAlign w:val="center"/>
          </w:tcPr>
          <w:p w:rsidR="008544D9" w:rsidRPr="001F0D3F" w:rsidRDefault="008544D9" w:rsidP="00BC2743">
            <w:pPr>
              <w:jc w:val="center"/>
              <w:rPr>
                <w:rFonts w:cs="Arial"/>
                <w:color w:val="000000"/>
                <w:sz w:val="14"/>
                <w:szCs w:val="18"/>
              </w:rPr>
            </w:pPr>
            <w:r w:rsidRPr="001F0D3F">
              <w:rPr>
                <w:rFonts w:cs="Arial"/>
                <w:color w:val="000000"/>
                <w:sz w:val="14"/>
                <w:szCs w:val="18"/>
              </w:rPr>
              <w:t>RobNc</w:t>
            </w:r>
          </w:p>
        </w:tc>
        <w:tc>
          <w:tcPr>
            <w:tcW w:w="961" w:type="dxa"/>
            <w:shd w:val="clear" w:color="auto" w:fill="auto"/>
            <w:noWrap/>
            <w:vAlign w:val="center"/>
          </w:tcPr>
          <w:p w:rsidR="008544D9" w:rsidRPr="001F0D3F" w:rsidRDefault="00AD0F2D" w:rsidP="005848F6">
            <w:pPr>
              <w:jc w:val="center"/>
              <w:rPr>
                <w:rFonts w:cs="Arial"/>
                <w:color w:val="000000"/>
                <w:sz w:val="14"/>
                <w:szCs w:val="18"/>
              </w:rPr>
            </w:pPr>
            <w:r>
              <w:rPr>
                <w:rFonts w:cs="Arial"/>
                <w:color w:val="000000"/>
                <w:sz w:val="14"/>
                <w:szCs w:val="18"/>
              </w:rPr>
              <w:t>$1,182.79</w:t>
            </w:r>
            <w:r w:rsidR="008544D9" w:rsidRPr="001F0D3F">
              <w:rPr>
                <w:rFonts w:cs="Arial"/>
                <w:color w:val="000000"/>
                <w:sz w:val="14"/>
                <w:szCs w:val="18"/>
              </w:rPr>
              <w:t xml:space="preserve"> </w:t>
            </w:r>
          </w:p>
        </w:tc>
        <w:tc>
          <w:tcPr>
            <w:tcW w:w="900" w:type="dxa"/>
            <w:vAlign w:val="center"/>
          </w:tcPr>
          <w:p w:rsidR="008544D9" w:rsidRPr="001F0D3F" w:rsidRDefault="008544D9">
            <w:pPr>
              <w:jc w:val="center"/>
              <w:rPr>
                <w:rFonts w:cs="Arial"/>
                <w:color w:val="000000"/>
                <w:sz w:val="14"/>
                <w:szCs w:val="18"/>
              </w:rPr>
            </w:pPr>
            <w:r>
              <w:rPr>
                <w:rFonts w:cs="Arial"/>
                <w:color w:val="000000"/>
                <w:sz w:val="14"/>
                <w:szCs w:val="18"/>
              </w:rPr>
              <w:t>30.5</w:t>
            </w:r>
          </w:p>
        </w:tc>
        <w:tc>
          <w:tcPr>
            <w:tcW w:w="990" w:type="dxa"/>
            <w:vAlign w:val="center"/>
          </w:tcPr>
          <w:p w:rsidR="008544D9" w:rsidRPr="001F0D3F" w:rsidRDefault="008544D9" w:rsidP="005848F6">
            <w:pPr>
              <w:jc w:val="center"/>
              <w:rPr>
                <w:rFonts w:cs="Arial"/>
                <w:color w:val="000000"/>
                <w:sz w:val="14"/>
                <w:szCs w:val="18"/>
              </w:rPr>
            </w:pPr>
            <w:r w:rsidRPr="001F0D3F">
              <w:rPr>
                <w:rFonts w:cs="Arial"/>
                <w:color w:val="000000"/>
                <w:sz w:val="14"/>
                <w:szCs w:val="18"/>
              </w:rPr>
              <w:t>N/A</w:t>
            </w:r>
          </w:p>
        </w:tc>
        <w:tc>
          <w:tcPr>
            <w:tcW w:w="900" w:type="dxa"/>
            <w:vAlign w:val="center"/>
          </w:tcPr>
          <w:p w:rsidR="008544D9" w:rsidRPr="001F0D3F" w:rsidRDefault="008544D9" w:rsidP="005848F6">
            <w:pPr>
              <w:jc w:val="center"/>
              <w:rPr>
                <w:rFonts w:cs="Arial"/>
                <w:color w:val="000000"/>
                <w:sz w:val="14"/>
                <w:szCs w:val="18"/>
              </w:rPr>
            </w:pPr>
            <w:r w:rsidRPr="001F0D3F">
              <w:rPr>
                <w:rFonts w:cs="Arial"/>
                <w:color w:val="000000"/>
                <w:sz w:val="14"/>
                <w:szCs w:val="18"/>
              </w:rPr>
              <w:t>N/A</w:t>
            </w:r>
          </w:p>
        </w:tc>
        <w:tc>
          <w:tcPr>
            <w:tcW w:w="900" w:type="dxa"/>
            <w:vAlign w:val="center"/>
          </w:tcPr>
          <w:p w:rsidR="008544D9" w:rsidRPr="001F0D3F" w:rsidRDefault="008544D9" w:rsidP="005848F6">
            <w:pPr>
              <w:jc w:val="center"/>
              <w:rPr>
                <w:rFonts w:cs="Arial"/>
                <w:color w:val="000000"/>
                <w:sz w:val="14"/>
                <w:szCs w:val="18"/>
              </w:rPr>
            </w:pPr>
            <w:r w:rsidRPr="001F0D3F">
              <w:rPr>
                <w:rFonts w:cs="Arial"/>
                <w:color w:val="000000"/>
                <w:sz w:val="14"/>
                <w:szCs w:val="18"/>
              </w:rPr>
              <w:t>N/A</w:t>
            </w:r>
          </w:p>
        </w:tc>
        <w:tc>
          <w:tcPr>
            <w:tcW w:w="990" w:type="dxa"/>
            <w:vAlign w:val="center"/>
          </w:tcPr>
          <w:p w:rsidR="008544D9" w:rsidRPr="001F0D3F" w:rsidRDefault="008544D9" w:rsidP="005848F6">
            <w:pPr>
              <w:jc w:val="center"/>
              <w:rPr>
                <w:sz w:val="14"/>
              </w:rPr>
            </w:pPr>
            <w:r w:rsidRPr="001F0D3F">
              <w:rPr>
                <w:sz w:val="14"/>
              </w:rPr>
              <w:t>1.0</w:t>
            </w:r>
          </w:p>
        </w:tc>
      </w:tr>
      <w:tr w:rsidR="008544D9" w:rsidRPr="001F0D3F" w:rsidTr="00A408A4">
        <w:trPr>
          <w:trHeight w:val="172"/>
          <w:jc w:val="center"/>
        </w:trPr>
        <w:tc>
          <w:tcPr>
            <w:tcW w:w="2812" w:type="dxa"/>
            <w:shd w:val="clear" w:color="auto" w:fill="auto"/>
            <w:noWrap/>
            <w:vAlign w:val="center"/>
          </w:tcPr>
          <w:p w:rsidR="008544D9" w:rsidRPr="001F0D3F" w:rsidRDefault="008544D9" w:rsidP="00D00EFC">
            <w:pPr>
              <w:jc w:val="center"/>
              <w:rPr>
                <w:rFonts w:cs="Arial"/>
                <w:color w:val="000000"/>
                <w:sz w:val="14"/>
                <w:szCs w:val="18"/>
              </w:rPr>
            </w:pPr>
            <w:r w:rsidRPr="001F0D3F">
              <w:rPr>
                <w:rFonts w:cs="Arial"/>
                <w:color w:val="000000"/>
                <w:sz w:val="14"/>
                <w:szCs w:val="18"/>
              </w:rPr>
              <w:t>Efficient Central Furnace, 97% AFUE,</w:t>
            </w:r>
          </w:p>
          <w:p w:rsidR="008544D9" w:rsidRPr="001F0D3F" w:rsidRDefault="008544D9" w:rsidP="00D00EFC">
            <w:pPr>
              <w:jc w:val="center"/>
              <w:rPr>
                <w:rFonts w:cs="Arial"/>
                <w:color w:val="000000"/>
                <w:sz w:val="14"/>
                <w:szCs w:val="18"/>
              </w:rPr>
            </w:pPr>
            <w:r w:rsidRPr="001F0D3F">
              <w:rPr>
                <w:rFonts w:cs="Arial"/>
                <w:color w:val="000000"/>
                <w:sz w:val="14"/>
                <w:szCs w:val="18"/>
              </w:rPr>
              <w:t>(Res-GasFurnace-AFUE97,DMo,Existing,IOU)</w:t>
            </w:r>
          </w:p>
        </w:tc>
        <w:tc>
          <w:tcPr>
            <w:tcW w:w="630" w:type="dxa"/>
            <w:vAlign w:val="center"/>
          </w:tcPr>
          <w:p w:rsidR="008544D9" w:rsidRPr="001F0D3F" w:rsidRDefault="008544D9" w:rsidP="005820A9">
            <w:pPr>
              <w:jc w:val="center"/>
              <w:rPr>
                <w:sz w:val="14"/>
                <w:szCs w:val="18"/>
              </w:rPr>
            </w:pPr>
            <w:r w:rsidRPr="001F0D3F">
              <w:rPr>
                <w:sz w:val="14"/>
                <w:szCs w:val="18"/>
              </w:rPr>
              <w:t>SCG</w:t>
            </w:r>
          </w:p>
        </w:tc>
        <w:tc>
          <w:tcPr>
            <w:tcW w:w="720" w:type="dxa"/>
            <w:shd w:val="clear" w:color="auto" w:fill="auto"/>
            <w:noWrap/>
            <w:vAlign w:val="center"/>
          </w:tcPr>
          <w:p w:rsidR="008544D9" w:rsidRPr="001F0D3F" w:rsidRDefault="00C942B8">
            <w:pPr>
              <w:jc w:val="center"/>
              <w:rPr>
                <w:rFonts w:cs="Arial"/>
                <w:color w:val="000000"/>
                <w:sz w:val="14"/>
                <w:szCs w:val="18"/>
              </w:rPr>
            </w:pPr>
            <w:r>
              <w:rPr>
                <w:rFonts w:cs="Arial"/>
                <w:color w:val="000000"/>
                <w:sz w:val="14"/>
                <w:szCs w:val="18"/>
              </w:rPr>
              <w:t>IOU</w:t>
            </w:r>
          </w:p>
        </w:tc>
        <w:tc>
          <w:tcPr>
            <w:tcW w:w="652" w:type="dxa"/>
            <w:shd w:val="clear" w:color="auto" w:fill="auto"/>
            <w:vAlign w:val="center"/>
          </w:tcPr>
          <w:p w:rsidR="008544D9" w:rsidRPr="001F0D3F" w:rsidRDefault="008544D9" w:rsidP="00F53918">
            <w:pPr>
              <w:jc w:val="center"/>
              <w:rPr>
                <w:sz w:val="14"/>
              </w:rPr>
            </w:pPr>
            <w:r w:rsidRPr="001F0D3F">
              <w:rPr>
                <w:rFonts w:cs="Arial"/>
                <w:color w:val="000000"/>
                <w:sz w:val="14"/>
                <w:szCs w:val="18"/>
              </w:rPr>
              <w:t>DMo</w:t>
            </w:r>
          </w:p>
        </w:tc>
        <w:tc>
          <w:tcPr>
            <w:tcW w:w="990" w:type="dxa"/>
            <w:shd w:val="clear" w:color="auto" w:fill="auto"/>
            <w:vAlign w:val="center"/>
          </w:tcPr>
          <w:p w:rsidR="008544D9" w:rsidRPr="001F0D3F" w:rsidRDefault="008544D9" w:rsidP="005848F6">
            <w:pPr>
              <w:jc w:val="center"/>
              <w:rPr>
                <w:rFonts w:cs="Arial"/>
                <w:color w:val="000000"/>
                <w:sz w:val="14"/>
                <w:szCs w:val="18"/>
              </w:rPr>
            </w:pPr>
            <w:r w:rsidRPr="001F0D3F">
              <w:rPr>
                <w:rFonts w:cs="Arial"/>
                <w:color w:val="000000"/>
                <w:sz w:val="14"/>
                <w:szCs w:val="18"/>
              </w:rPr>
              <w:t xml:space="preserve">20 </w:t>
            </w:r>
            <w:r w:rsidRPr="001F0D3F">
              <w:rPr>
                <w:rFonts w:cs="Arial"/>
                <w:color w:val="000000"/>
                <w:sz w:val="14"/>
                <w:szCs w:val="18"/>
              </w:rPr>
              <w:br/>
              <w:t>(HV-EffFurn)</w:t>
            </w:r>
          </w:p>
        </w:tc>
        <w:tc>
          <w:tcPr>
            <w:tcW w:w="1148" w:type="dxa"/>
            <w:shd w:val="clear" w:color="auto" w:fill="auto"/>
            <w:vAlign w:val="center"/>
          </w:tcPr>
          <w:p w:rsidR="008544D9" w:rsidRPr="001F0D3F" w:rsidRDefault="00DE7F9A" w:rsidP="00DE7F9A">
            <w:pPr>
              <w:jc w:val="center"/>
              <w:rPr>
                <w:rFonts w:cs="Arial"/>
                <w:color w:val="000000"/>
                <w:sz w:val="14"/>
                <w:szCs w:val="18"/>
              </w:rPr>
            </w:pPr>
            <w:r w:rsidRPr="001F0D3F">
              <w:rPr>
                <w:rFonts w:cs="Arial"/>
                <w:color w:val="000000"/>
                <w:sz w:val="14"/>
                <w:szCs w:val="18"/>
              </w:rPr>
              <w:t>0.55</w:t>
            </w:r>
            <w:r w:rsidRPr="001F0D3F">
              <w:rPr>
                <w:rFonts w:cs="Arial"/>
                <w:color w:val="000000"/>
                <w:sz w:val="14"/>
                <w:szCs w:val="18"/>
              </w:rPr>
              <w:br/>
              <w:t>(Res-Default&gt;2)</w:t>
            </w:r>
          </w:p>
        </w:tc>
        <w:tc>
          <w:tcPr>
            <w:tcW w:w="1170" w:type="dxa"/>
            <w:shd w:val="clear" w:color="auto" w:fill="auto"/>
            <w:noWrap/>
            <w:vAlign w:val="center"/>
          </w:tcPr>
          <w:p w:rsidR="008544D9" w:rsidRPr="001F0D3F" w:rsidRDefault="008544D9" w:rsidP="005848F6">
            <w:pPr>
              <w:jc w:val="center"/>
              <w:rPr>
                <w:rFonts w:cs="Arial"/>
                <w:color w:val="000000"/>
                <w:sz w:val="14"/>
                <w:szCs w:val="18"/>
              </w:rPr>
            </w:pPr>
            <w:r w:rsidRPr="001F0D3F">
              <w:rPr>
                <w:rFonts w:cs="Arial"/>
                <w:color w:val="000000"/>
                <w:sz w:val="14"/>
                <w:szCs w:val="18"/>
              </w:rPr>
              <w:t xml:space="preserve">Residential </w:t>
            </w:r>
            <w:r w:rsidRPr="001F0D3F">
              <w:rPr>
                <w:rFonts w:cs="Arial"/>
                <w:color w:val="000000"/>
                <w:sz w:val="14"/>
                <w:szCs w:val="18"/>
              </w:rPr>
              <w:br/>
              <w:t>Furnace</w:t>
            </w:r>
          </w:p>
        </w:tc>
        <w:tc>
          <w:tcPr>
            <w:tcW w:w="1041" w:type="dxa"/>
            <w:shd w:val="clear" w:color="auto" w:fill="auto"/>
            <w:noWrap/>
            <w:vAlign w:val="center"/>
          </w:tcPr>
          <w:p w:rsidR="008544D9" w:rsidRPr="001F0D3F" w:rsidRDefault="008544D9" w:rsidP="005848F6">
            <w:pPr>
              <w:jc w:val="center"/>
              <w:rPr>
                <w:rFonts w:cs="Arial"/>
                <w:color w:val="000000"/>
                <w:sz w:val="14"/>
                <w:szCs w:val="18"/>
              </w:rPr>
            </w:pPr>
            <w:r w:rsidRPr="001F0D3F">
              <w:rPr>
                <w:rFonts w:cs="Arial"/>
                <w:color w:val="000000"/>
                <w:sz w:val="14"/>
                <w:szCs w:val="18"/>
              </w:rPr>
              <w:t>RobNc</w:t>
            </w:r>
          </w:p>
        </w:tc>
        <w:tc>
          <w:tcPr>
            <w:tcW w:w="961" w:type="dxa"/>
            <w:shd w:val="clear" w:color="auto" w:fill="auto"/>
            <w:noWrap/>
            <w:vAlign w:val="center"/>
          </w:tcPr>
          <w:p w:rsidR="008544D9" w:rsidRPr="001F0D3F" w:rsidRDefault="008544D9" w:rsidP="005848F6">
            <w:pPr>
              <w:jc w:val="center"/>
              <w:rPr>
                <w:rFonts w:cs="Arial"/>
                <w:color w:val="000000"/>
                <w:sz w:val="14"/>
                <w:szCs w:val="18"/>
              </w:rPr>
            </w:pPr>
            <w:r w:rsidRPr="001F0D3F">
              <w:rPr>
                <w:rFonts w:cs="Arial"/>
                <w:color w:val="000000"/>
                <w:sz w:val="14"/>
                <w:szCs w:val="18"/>
              </w:rPr>
              <w:t>$</w:t>
            </w:r>
            <w:r w:rsidR="003B329F">
              <w:rPr>
                <w:rFonts w:cs="Arial"/>
                <w:color w:val="000000"/>
                <w:sz w:val="14"/>
                <w:szCs w:val="18"/>
              </w:rPr>
              <w:t>1,018</w:t>
            </w:r>
            <w:r w:rsidR="00AD0F2D">
              <w:rPr>
                <w:rFonts w:cs="Arial"/>
                <w:color w:val="000000"/>
                <w:sz w:val="14"/>
                <w:szCs w:val="18"/>
              </w:rPr>
              <w:t>.05</w:t>
            </w:r>
          </w:p>
        </w:tc>
        <w:tc>
          <w:tcPr>
            <w:tcW w:w="900" w:type="dxa"/>
            <w:vAlign w:val="center"/>
          </w:tcPr>
          <w:p w:rsidR="008544D9" w:rsidRPr="001F0D3F" w:rsidRDefault="008544D9">
            <w:pPr>
              <w:jc w:val="center"/>
              <w:rPr>
                <w:rFonts w:cs="Arial"/>
                <w:color w:val="000000"/>
                <w:sz w:val="14"/>
                <w:szCs w:val="18"/>
              </w:rPr>
            </w:pPr>
            <w:r>
              <w:rPr>
                <w:rFonts w:cs="Arial"/>
                <w:color w:val="000000"/>
                <w:sz w:val="14"/>
                <w:szCs w:val="18"/>
              </w:rPr>
              <w:t>17.1</w:t>
            </w:r>
          </w:p>
        </w:tc>
        <w:tc>
          <w:tcPr>
            <w:tcW w:w="990" w:type="dxa"/>
            <w:vAlign w:val="center"/>
          </w:tcPr>
          <w:p w:rsidR="008544D9" w:rsidRPr="001F0D3F" w:rsidRDefault="008544D9" w:rsidP="005848F6">
            <w:pPr>
              <w:jc w:val="center"/>
              <w:rPr>
                <w:rFonts w:cs="Arial"/>
                <w:color w:val="000000"/>
                <w:sz w:val="14"/>
                <w:szCs w:val="18"/>
              </w:rPr>
            </w:pPr>
            <w:r w:rsidRPr="001F0D3F">
              <w:rPr>
                <w:rFonts w:cs="Arial"/>
                <w:color w:val="000000"/>
                <w:sz w:val="14"/>
                <w:szCs w:val="18"/>
              </w:rPr>
              <w:t>N/A</w:t>
            </w:r>
          </w:p>
        </w:tc>
        <w:tc>
          <w:tcPr>
            <w:tcW w:w="900" w:type="dxa"/>
            <w:vAlign w:val="center"/>
          </w:tcPr>
          <w:p w:rsidR="008544D9" w:rsidRPr="001F0D3F" w:rsidRDefault="008544D9" w:rsidP="005848F6">
            <w:pPr>
              <w:jc w:val="center"/>
              <w:rPr>
                <w:rFonts w:cs="Arial"/>
                <w:color w:val="000000"/>
                <w:sz w:val="14"/>
                <w:szCs w:val="18"/>
              </w:rPr>
            </w:pPr>
            <w:r w:rsidRPr="001F0D3F">
              <w:rPr>
                <w:rFonts w:cs="Arial"/>
                <w:color w:val="000000"/>
                <w:sz w:val="14"/>
                <w:szCs w:val="18"/>
              </w:rPr>
              <w:t>N/A</w:t>
            </w:r>
          </w:p>
        </w:tc>
        <w:tc>
          <w:tcPr>
            <w:tcW w:w="900" w:type="dxa"/>
            <w:vAlign w:val="center"/>
          </w:tcPr>
          <w:p w:rsidR="008544D9" w:rsidRPr="001F0D3F" w:rsidRDefault="008544D9" w:rsidP="005848F6">
            <w:pPr>
              <w:jc w:val="center"/>
              <w:rPr>
                <w:rFonts w:cs="Arial"/>
                <w:color w:val="000000"/>
                <w:sz w:val="14"/>
                <w:szCs w:val="18"/>
              </w:rPr>
            </w:pPr>
            <w:r w:rsidRPr="001F0D3F">
              <w:rPr>
                <w:rFonts w:cs="Arial"/>
                <w:color w:val="000000"/>
                <w:sz w:val="14"/>
                <w:szCs w:val="18"/>
              </w:rPr>
              <w:t>N/A</w:t>
            </w:r>
          </w:p>
        </w:tc>
        <w:tc>
          <w:tcPr>
            <w:tcW w:w="990" w:type="dxa"/>
            <w:vAlign w:val="center"/>
          </w:tcPr>
          <w:p w:rsidR="008544D9" w:rsidRPr="001F0D3F" w:rsidRDefault="008544D9" w:rsidP="005848F6">
            <w:pPr>
              <w:jc w:val="center"/>
              <w:rPr>
                <w:sz w:val="14"/>
              </w:rPr>
            </w:pPr>
            <w:r w:rsidRPr="001F0D3F">
              <w:rPr>
                <w:sz w:val="14"/>
              </w:rPr>
              <w:t>1.0</w:t>
            </w:r>
          </w:p>
        </w:tc>
      </w:tr>
    </w:tbl>
    <w:p w:rsidR="00D64C10" w:rsidRDefault="005848F6" w:rsidP="002F29DD">
      <w:pPr>
        <w:sectPr w:rsidR="00D64C10" w:rsidSect="00A826F3">
          <w:footerReference w:type="even" r:id="rId12"/>
          <w:footerReference w:type="default" r:id="rId13"/>
          <w:endnotePr>
            <w:numFmt w:val="decimal"/>
          </w:endnotePr>
          <w:pgSz w:w="15840" w:h="12240" w:orient="landscape" w:code="1"/>
          <w:pgMar w:top="1440" w:right="1440" w:bottom="1440" w:left="1440" w:header="720" w:footer="720" w:gutter="0"/>
          <w:pgNumType w:fmt="lowerRoman"/>
          <w:cols w:space="720"/>
          <w:docGrid w:linePitch="360"/>
        </w:sectPr>
      </w:pPr>
      <w:r w:rsidRPr="005848F6">
        <w:t>Note: For the complete list of Measures, refer to Appendix A for the accompanying calculation spreadsheet</w:t>
      </w:r>
    </w:p>
    <w:p w:rsidR="002F29DD" w:rsidRPr="007E3E56" w:rsidRDefault="002F29DD" w:rsidP="002F29DD">
      <w:pPr>
        <w:pStyle w:val="Heading1"/>
        <w:rPr>
          <w:vertAlign w:val="subscript"/>
        </w:rPr>
      </w:pPr>
      <w:bookmarkStart w:id="6" w:name="_Toc238955952"/>
      <w:r>
        <w:lastRenderedPageBreak/>
        <w:t>Table of Contents</w:t>
      </w:r>
      <w:bookmarkEnd w:id="6"/>
    </w:p>
    <w:p w:rsidR="0014230F" w:rsidRDefault="006F409E">
      <w:pPr>
        <w:pStyle w:val="TOC1"/>
        <w:tabs>
          <w:tab w:val="right" w:leader="dot" w:pos="9350"/>
        </w:tabs>
        <w:rPr>
          <w:rFonts w:asciiTheme="minorHAnsi" w:eastAsiaTheme="minorEastAsia" w:hAnsiTheme="minorHAnsi" w:cstheme="minorBidi"/>
          <w:noProof/>
          <w:sz w:val="22"/>
          <w:szCs w:val="22"/>
        </w:rPr>
      </w:pPr>
      <w:r>
        <w:fldChar w:fldCharType="begin"/>
      </w:r>
      <w:r w:rsidR="00B07AE0">
        <w:instrText xml:space="preserve"> TOC \h \z \t "Pref,1,Appx,1,WPSCT,1,WPART,2" </w:instrText>
      </w:r>
      <w:r>
        <w:fldChar w:fldCharType="separate"/>
      </w:r>
      <w:hyperlink w:anchor="_Toc357762651" w:history="1">
        <w:r w:rsidR="0014230F" w:rsidRPr="00BD71A8">
          <w:rPr>
            <w:rStyle w:val="Hyperlink"/>
            <w:noProof/>
          </w:rPr>
          <w:t>Revision History</w:t>
        </w:r>
        <w:r w:rsidR="0014230F">
          <w:rPr>
            <w:noProof/>
            <w:webHidden/>
          </w:rPr>
          <w:tab/>
        </w:r>
        <w:r>
          <w:rPr>
            <w:noProof/>
            <w:webHidden/>
          </w:rPr>
          <w:fldChar w:fldCharType="begin"/>
        </w:r>
        <w:r w:rsidR="0014230F">
          <w:rPr>
            <w:noProof/>
            <w:webHidden/>
          </w:rPr>
          <w:instrText xml:space="preserve"> PAGEREF _Toc357762651 \h </w:instrText>
        </w:r>
        <w:r>
          <w:rPr>
            <w:noProof/>
            <w:webHidden/>
          </w:rPr>
        </w:r>
        <w:r>
          <w:rPr>
            <w:noProof/>
            <w:webHidden/>
          </w:rPr>
          <w:fldChar w:fldCharType="separate"/>
        </w:r>
        <w:r w:rsidR="00C36E4C">
          <w:rPr>
            <w:noProof/>
            <w:webHidden/>
          </w:rPr>
          <w:t>i</w:t>
        </w:r>
        <w:r>
          <w:rPr>
            <w:noProof/>
            <w:webHidden/>
          </w:rPr>
          <w:fldChar w:fldCharType="end"/>
        </w:r>
      </w:hyperlink>
    </w:p>
    <w:p w:rsidR="0014230F" w:rsidRDefault="002D1AC6">
      <w:pPr>
        <w:pStyle w:val="TOC1"/>
        <w:tabs>
          <w:tab w:val="right" w:leader="dot" w:pos="9350"/>
        </w:tabs>
        <w:rPr>
          <w:rFonts w:asciiTheme="minorHAnsi" w:eastAsiaTheme="minorEastAsia" w:hAnsiTheme="minorHAnsi" w:cstheme="minorBidi"/>
          <w:noProof/>
          <w:sz w:val="22"/>
          <w:szCs w:val="22"/>
        </w:rPr>
      </w:pPr>
      <w:hyperlink w:anchor="_Toc357762652" w:history="1">
        <w:r w:rsidR="0014230F" w:rsidRPr="00BD71A8">
          <w:rPr>
            <w:rStyle w:val="Hyperlink"/>
            <w:noProof/>
          </w:rPr>
          <w:t>Measure Summary Table</w:t>
        </w:r>
        <w:r w:rsidR="0014230F">
          <w:rPr>
            <w:noProof/>
            <w:webHidden/>
          </w:rPr>
          <w:tab/>
        </w:r>
        <w:r w:rsidR="006F409E">
          <w:rPr>
            <w:noProof/>
            <w:webHidden/>
          </w:rPr>
          <w:fldChar w:fldCharType="begin"/>
        </w:r>
        <w:r w:rsidR="0014230F">
          <w:rPr>
            <w:noProof/>
            <w:webHidden/>
          </w:rPr>
          <w:instrText xml:space="preserve"> PAGEREF _Toc357762652 \h </w:instrText>
        </w:r>
        <w:r w:rsidR="006F409E">
          <w:rPr>
            <w:noProof/>
            <w:webHidden/>
          </w:rPr>
        </w:r>
        <w:r w:rsidR="006F409E">
          <w:rPr>
            <w:noProof/>
            <w:webHidden/>
          </w:rPr>
          <w:fldChar w:fldCharType="separate"/>
        </w:r>
        <w:r w:rsidR="00C36E4C">
          <w:rPr>
            <w:noProof/>
            <w:webHidden/>
          </w:rPr>
          <w:t>ii</w:t>
        </w:r>
        <w:r w:rsidR="006F409E">
          <w:rPr>
            <w:noProof/>
            <w:webHidden/>
          </w:rPr>
          <w:fldChar w:fldCharType="end"/>
        </w:r>
      </w:hyperlink>
    </w:p>
    <w:p w:rsidR="0014230F" w:rsidRDefault="002D1AC6">
      <w:pPr>
        <w:pStyle w:val="TOC1"/>
        <w:tabs>
          <w:tab w:val="right" w:leader="dot" w:pos="9350"/>
        </w:tabs>
        <w:rPr>
          <w:rFonts w:asciiTheme="minorHAnsi" w:eastAsiaTheme="minorEastAsia" w:hAnsiTheme="minorHAnsi" w:cstheme="minorBidi"/>
          <w:noProof/>
          <w:sz w:val="22"/>
          <w:szCs w:val="22"/>
        </w:rPr>
      </w:pPr>
      <w:hyperlink w:anchor="_Toc357762653" w:history="1">
        <w:r w:rsidR="0014230F" w:rsidRPr="00BD71A8">
          <w:rPr>
            <w:rStyle w:val="Hyperlink"/>
            <w:noProof/>
          </w:rPr>
          <w:t>List of Tables</w:t>
        </w:r>
        <w:r w:rsidR="0014230F">
          <w:rPr>
            <w:noProof/>
            <w:webHidden/>
          </w:rPr>
          <w:tab/>
        </w:r>
        <w:r w:rsidR="006F409E">
          <w:rPr>
            <w:noProof/>
            <w:webHidden/>
          </w:rPr>
          <w:fldChar w:fldCharType="begin"/>
        </w:r>
        <w:r w:rsidR="0014230F">
          <w:rPr>
            <w:noProof/>
            <w:webHidden/>
          </w:rPr>
          <w:instrText xml:space="preserve"> PAGEREF _Toc357762653 \h </w:instrText>
        </w:r>
        <w:r w:rsidR="006F409E">
          <w:rPr>
            <w:noProof/>
            <w:webHidden/>
          </w:rPr>
        </w:r>
        <w:r w:rsidR="006F409E">
          <w:rPr>
            <w:noProof/>
            <w:webHidden/>
          </w:rPr>
          <w:fldChar w:fldCharType="separate"/>
        </w:r>
        <w:r w:rsidR="00C36E4C">
          <w:rPr>
            <w:noProof/>
            <w:webHidden/>
          </w:rPr>
          <w:t>iv</w:t>
        </w:r>
        <w:r w:rsidR="006F409E">
          <w:rPr>
            <w:noProof/>
            <w:webHidden/>
          </w:rPr>
          <w:fldChar w:fldCharType="end"/>
        </w:r>
      </w:hyperlink>
    </w:p>
    <w:p w:rsidR="0014230F" w:rsidRDefault="002D1AC6">
      <w:pPr>
        <w:pStyle w:val="TOC1"/>
        <w:tabs>
          <w:tab w:val="right" w:leader="dot" w:pos="9350"/>
        </w:tabs>
        <w:rPr>
          <w:rFonts w:asciiTheme="minorHAnsi" w:eastAsiaTheme="minorEastAsia" w:hAnsiTheme="minorHAnsi" w:cstheme="minorBidi"/>
          <w:noProof/>
          <w:sz w:val="22"/>
          <w:szCs w:val="22"/>
        </w:rPr>
      </w:pPr>
      <w:hyperlink w:anchor="_Toc357762654" w:history="1">
        <w:r w:rsidR="0014230F" w:rsidRPr="00BD71A8">
          <w:rPr>
            <w:rStyle w:val="Hyperlink"/>
            <w:noProof/>
          </w:rPr>
          <w:t>SECTION 1 - General Measure &amp; Baseline Data</w:t>
        </w:r>
        <w:r w:rsidR="0014230F">
          <w:rPr>
            <w:noProof/>
            <w:webHidden/>
          </w:rPr>
          <w:tab/>
        </w:r>
        <w:r w:rsidR="006F409E">
          <w:rPr>
            <w:noProof/>
            <w:webHidden/>
          </w:rPr>
          <w:fldChar w:fldCharType="begin"/>
        </w:r>
        <w:r w:rsidR="0014230F">
          <w:rPr>
            <w:noProof/>
            <w:webHidden/>
          </w:rPr>
          <w:instrText xml:space="preserve"> PAGEREF _Toc357762654 \h </w:instrText>
        </w:r>
        <w:r w:rsidR="006F409E">
          <w:rPr>
            <w:noProof/>
            <w:webHidden/>
          </w:rPr>
        </w:r>
        <w:r w:rsidR="006F409E">
          <w:rPr>
            <w:noProof/>
            <w:webHidden/>
          </w:rPr>
          <w:fldChar w:fldCharType="separate"/>
        </w:r>
        <w:r w:rsidR="00C36E4C">
          <w:rPr>
            <w:noProof/>
            <w:webHidden/>
          </w:rPr>
          <w:t>1</w:t>
        </w:r>
        <w:r w:rsidR="006F409E">
          <w:rPr>
            <w:noProof/>
            <w:webHidden/>
          </w:rPr>
          <w:fldChar w:fldCharType="end"/>
        </w:r>
      </w:hyperlink>
    </w:p>
    <w:p w:rsidR="0014230F" w:rsidRDefault="002D1AC6">
      <w:pPr>
        <w:pStyle w:val="TOC2"/>
        <w:tabs>
          <w:tab w:val="left" w:pos="1100"/>
          <w:tab w:val="right" w:leader="dot" w:pos="9350"/>
        </w:tabs>
        <w:rPr>
          <w:rFonts w:asciiTheme="minorHAnsi" w:eastAsiaTheme="minorEastAsia" w:hAnsiTheme="minorHAnsi" w:cstheme="minorBidi"/>
          <w:noProof/>
          <w:sz w:val="22"/>
          <w:szCs w:val="22"/>
        </w:rPr>
      </w:pPr>
      <w:hyperlink w:anchor="_Toc357762655" w:history="1">
        <w:r w:rsidR="0014230F" w:rsidRPr="00BD71A8">
          <w:rPr>
            <w:rStyle w:val="Hyperlink"/>
            <w:noProof/>
          </w:rPr>
          <w:t>1.01</w:t>
        </w:r>
        <w:r w:rsidR="0014230F">
          <w:rPr>
            <w:rFonts w:asciiTheme="minorHAnsi" w:eastAsiaTheme="minorEastAsia" w:hAnsiTheme="minorHAnsi" w:cstheme="minorBidi"/>
            <w:noProof/>
            <w:sz w:val="22"/>
            <w:szCs w:val="22"/>
          </w:rPr>
          <w:tab/>
        </w:r>
        <w:r w:rsidR="0014230F" w:rsidRPr="00BD71A8">
          <w:rPr>
            <w:rStyle w:val="Hyperlink"/>
            <w:noProof/>
          </w:rPr>
          <w:t>Measure &amp; Delivery Description</w:t>
        </w:r>
        <w:r w:rsidR="0014230F">
          <w:rPr>
            <w:noProof/>
            <w:webHidden/>
          </w:rPr>
          <w:tab/>
        </w:r>
        <w:r w:rsidR="006F409E">
          <w:rPr>
            <w:noProof/>
            <w:webHidden/>
          </w:rPr>
          <w:fldChar w:fldCharType="begin"/>
        </w:r>
        <w:r w:rsidR="0014230F">
          <w:rPr>
            <w:noProof/>
            <w:webHidden/>
          </w:rPr>
          <w:instrText xml:space="preserve"> PAGEREF _Toc357762655 \h </w:instrText>
        </w:r>
        <w:r w:rsidR="006F409E">
          <w:rPr>
            <w:noProof/>
            <w:webHidden/>
          </w:rPr>
        </w:r>
        <w:r w:rsidR="006F409E">
          <w:rPr>
            <w:noProof/>
            <w:webHidden/>
          </w:rPr>
          <w:fldChar w:fldCharType="separate"/>
        </w:r>
        <w:r w:rsidR="00C36E4C">
          <w:rPr>
            <w:noProof/>
            <w:webHidden/>
          </w:rPr>
          <w:t>1</w:t>
        </w:r>
        <w:r w:rsidR="006F409E">
          <w:rPr>
            <w:noProof/>
            <w:webHidden/>
          </w:rPr>
          <w:fldChar w:fldCharType="end"/>
        </w:r>
      </w:hyperlink>
    </w:p>
    <w:p w:rsidR="0014230F" w:rsidRDefault="002D1AC6">
      <w:pPr>
        <w:pStyle w:val="TOC2"/>
        <w:tabs>
          <w:tab w:val="left" w:pos="1100"/>
          <w:tab w:val="right" w:leader="dot" w:pos="9350"/>
        </w:tabs>
        <w:rPr>
          <w:rFonts w:asciiTheme="minorHAnsi" w:eastAsiaTheme="minorEastAsia" w:hAnsiTheme="minorHAnsi" w:cstheme="minorBidi"/>
          <w:noProof/>
          <w:sz w:val="22"/>
          <w:szCs w:val="22"/>
        </w:rPr>
      </w:pPr>
      <w:hyperlink w:anchor="_Toc357762656" w:history="1">
        <w:r w:rsidR="0014230F" w:rsidRPr="00BD71A8">
          <w:rPr>
            <w:rStyle w:val="Hyperlink"/>
            <w:noProof/>
          </w:rPr>
          <w:t>1.02</w:t>
        </w:r>
        <w:r w:rsidR="0014230F">
          <w:rPr>
            <w:rFonts w:asciiTheme="minorHAnsi" w:eastAsiaTheme="minorEastAsia" w:hAnsiTheme="minorHAnsi" w:cstheme="minorBidi"/>
            <w:noProof/>
            <w:sz w:val="22"/>
            <w:szCs w:val="22"/>
          </w:rPr>
          <w:tab/>
        </w:r>
        <w:r w:rsidR="0014230F" w:rsidRPr="00BD71A8">
          <w:rPr>
            <w:rStyle w:val="Hyperlink"/>
            <w:noProof/>
          </w:rPr>
          <w:t>DEER Differences Analysis</w:t>
        </w:r>
        <w:r w:rsidR="0014230F">
          <w:rPr>
            <w:noProof/>
            <w:webHidden/>
          </w:rPr>
          <w:tab/>
        </w:r>
        <w:r w:rsidR="006F409E">
          <w:rPr>
            <w:noProof/>
            <w:webHidden/>
          </w:rPr>
          <w:fldChar w:fldCharType="begin"/>
        </w:r>
        <w:r w:rsidR="0014230F">
          <w:rPr>
            <w:noProof/>
            <w:webHidden/>
          </w:rPr>
          <w:instrText xml:space="preserve"> PAGEREF _Toc357762656 \h </w:instrText>
        </w:r>
        <w:r w:rsidR="006F409E">
          <w:rPr>
            <w:noProof/>
            <w:webHidden/>
          </w:rPr>
        </w:r>
        <w:r w:rsidR="006F409E">
          <w:rPr>
            <w:noProof/>
            <w:webHidden/>
          </w:rPr>
          <w:fldChar w:fldCharType="separate"/>
        </w:r>
        <w:r w:rsidR="00C36E4C">
          <w:rPr>
            <w:noProof/>
            <w:webHidden/>
          </w:rPr>
          <w:t>3</w:t>
        </w:r>
        <w:r w:rsidR="006F409E">
          <w:rPr>
            <w:noProof/>
            <w:webHidden/>
          </w:rPr>
          <w:fldChar w:fldCharType="end"/>
        </w:r>
      </w:hyperlink>
    </w:p>
    <w:p w:rsidR="0014230F" w:rsidRDefault="002D1AC6">
      <w:pPr>
        <w:pStyle w:val="TOC2"/>
        <w:tabs>
          <w:tab w:val="left" w:pos="1100"/>
          <w:tab w:val="right" w:leader="dot" w:pos="9350"/>
        </w:tabs>
        <w:rPr>
          <w:rFonts w:asciiTheme="minorHAnsi" w:eastAsiaTheme="minorEastAsia" w:hAnsiTheme="minorHAnsi" w:cstheme="minorBidi"/>
          <w:noProof/>
          <w:sz w:val="22"/>
          <w:szCs w:val="22"/>
        </w:rPr>
      </w:pPr>
      <w:hyperlink w:anchor="_Toc357762657" w:history="1">
        <w:r w:rsidR="0014230F" w:rsidRPr="00BD71A8">
          <w:rPr>
            <w:rStyle w:val="Hyperlink"/>
            <w:noProof/>
          </w:rPr>
          <w:t>1.03</w:t>
        </w:r>
        <w:r w:rsidR="0014230F">
          <w:rPr>
            <w:rFonts w:asciiTheme="minorHAnsi" w:eastAsiaTheme="minorEastAsia" w:hAnsiTheme="minorHAnsi" w:cstheme="minorBidi"/>
            <w:noProof/>
            <w:sz w:val="22"/>
            <w:szCs w:val="22"/>
          </w:rPr>
          <w:tab/>
        </w:r>
        <w:r w:rsidR="0014230F" w:rsidRPr="00BD71A8">
          <w:rPr>
            <w:rStyle w:val="Hyperlink"/>
            <w:noProof/>
          </w:rPr>
          <w:t>Code Analysis</w:t>
        </w:r>
        <w:r w:rsidR="0014230F">
          <w:rPr>
            <w:noProof/>
            <w:webHidden/>
          </w:rPr>
          <w:tab/>
        </w:r>
        <w:r w:rsidR="006F409E">
          <w:rPr>
            <w:noProof/>
            <w:webHidden/>
          </w:rPr>
          <w:fldChar w:fldCharType="begin"/>
        </w:r>
        <w:r w:rsidR="0014230F">
          <w:rPr>
            <w:noProof/>
            <w:webHidden/>
          </w:rPr>
          <w:instrText xml:space="preserve"> PAGEREF _Toc357762657 \h </w:instrText>
        </w:r>
        <w:r w:rsidR="006F409E">
          <w:rPr>
            <w:noProof/>
            <w:webHidden/>
          </w:rPr>
        </w:r>
        <w:r w:rsidR="006F409E">
          <w:rPr>
            <w:noProof/>
            <w:webHidden/>
          </w:rPr>
          <w:fldChar w:fldCharType="separate"/>
        </w:r>
        <w:r w:rsidR="00C36E4C">
          <w:rPr>
            <w:noProof/>
            <w:webHidden/>
          </w:rPr>
          <w:t>3</w:t>
        </w:r>
        <w:r w:rsidR="006F409E">
          <w:rPr>
            <w:noProof/>
            <w:webHidden/>
          </w:rPr>
          <w:fldChar w:fldCharType="end"/>
        </w:r>
      </w:hyperlink>
    </w:p>
    <w:p w:rsidR="0014230F" w:rsidRDefault="002D1AC6">
      <w:pPr>
        <w:pStyle w:val="TOC2"/>
        <w:tabs>
          <w:tab w:val="left" w:pos="1100"/>
          <w:tab w:val="right" w:leader="dot" w:pos="9350"/>
        </w:tabs>
        <w:rPr>
          <w:rFonts w:asciiTheme="minorHAnsi" w:eastAsiaTheme="minorEastAsia" w:hAnsiTheme="minorHAnsi" w:cstheme="minorBidi"/>
          <w:noProof/>
          <w:sz w:val="22"/>
          <w:szCs w:val="22"/>
        </w:rPr>
      </w:pPr>
      <w:hyperlink w:anchor="_Toc357762658" w:history="1">
        <w:r w:rsidR="0014230F" w:rsidRPr="00BD71A8">
          <w:rPr>
            <w:rStyle w:val="Hyperlink"/>
            <w:noProof/>
          </w:rPr>
          <w:t>1.04</w:t>
        </w:r>
        <w:r w:rsidR="0014230F">
          <w:rPr>
            <w:rFonts w:asciiTheme="minorHAnsi" w:eastAsiaTheme="minorEastAsia" w:hAnsiTheme="minorHAnsi" w:cstheme="minorBidi"/>
            <w:noProof/>
            <w:sz w:val="22"/>
            <w:szCs w:val="22"/>
          </w:rPr>
          <w:tab/>
        </w:r>
        <w:r w:rsidR="0014230F" w:rsidRPr="00BD71A8">
          <w:rPr>
            <w:rStyle w:val="Hyperlink"/>
            <w:noProof/>
          </w:rPr>
          <w:t>Measure Effective Useful Life</w:t>
        </w:r>
        <w:r w:rsidR="0014230F">
          <w:rPr>
            <w:noProof/>
            <w:webHidden/>
          </w:rPr>
          <w:tab/>
        </w:r>
        <w:r w:rsidR="006F409E">
          <w:rPr>
            <w:noProof/>
            <w:webHidden/>
          </w:rPr>
          <w:fldChar w:fldCharType="begin"/>
        </w:r>
        <w:r w:rsidR="0014230F">
          <w:rPr>
            <w:noProof/>
            <w:webHidden/>
          </w:rPr>
          <w:instrText xml:space="preserve"> PAGEREF _Toc357762658 \h </w:instrText>
        </w:r>
        <w:r w:rsidR="006F409E">
          <w:rPr>
            <w:noProof/>
            <w:webHidden/>
          </w:rPr>
        </w:r>
        <w:r w:rsidR="006F409E">
          <w:rPr>
            <w:noProof/>
            <w:webHidden/>
          </w:rPr>
          <w:fldChar w:fldCharType="separate"/>
        </w:r>
        <w:r w:rsidR="00C36E4C">
          <w:rPr>
            <w:noProof/>
            <w:webHidden/>
          </w:rPr>
          <w:t>4</w:t>
        </w:r>
        <w:r w:rsidR="006F409E">
          <w:rPr>
            <w:noProof/>
            <w:webHidden/>
          </w:rPr>
          <w:fldChar w:fldCharType="end"/>
        </w:r>
      </w:hyperlink>
    </w:p>
    <w:p w:rsidR="0014230F" w:rsidRDefault="002D1AC6">
      <w:pPr>
        <w:pStyle w:val="TOC2"/>
        <w:tabs>
          <w:tab w:val="left" w:pos="1100"/>
          <w:tab w:val="right" w:leader="dot" w:pos="9350"/>
        </w:tabs>
        <w:rPr>
          <w:rFonts w:asciiTheme="minorHAnsi" w:eastAsiaTheme="minorEastAsia" w:hAnsiTheme="minorHAnsi" w:cstheme="minorBidi"/>
          <w:noProof/>
          <w:sz w:val="22"/>
          <w:szCs w:val="22"/>
        </w:rPr>
      </w:pPr>
      <w:hyperlink w:anchor="_Toc357762659" w:history="1">
        <w:r w:rsidR="0014230F" w:rsidRPr="00BD71A8">
          <w:rPr>
            <w:rStyle w:val="Hyperlink"/>
            <w:noProof/>
          </w:rPr>
          <w:t>1.05</w:t>
        </w:r>
        <w:r w:rsidR="0014230F">
          <w:rPr>
            <w:rFonts w:asciiTheme="minorHAnsi" w:eastAsiaTheme="minorEastAsia" w:hAnsiTheme="minorHAnsi" w:cstheme="minorBidi"/>
            <w:noProof/>
            <w:sz w:val="22"/>
            <w:szCs w:val="22"/>
          </w:rPr>
          <w:tab/>
        </w:r>
        <w:r w:rsidR="0014230F" w:rsidRPr="00BD71A8">
          <w:rPr>
            <w:rStyle w:val="Hyperlink"/>
            <w:noProof/>
          </w:rPr>
          <w:t>Net-to-Gross Ratios for Different Program Strategies</w:t>
        </w:r>
        <w:r w:rsidR="0014230F">
          <w:rPr>
            <w:noProof/>
            <w:webHidden/>
          </w:rPr>
          <w:tab/>
        </w:r>
        <w:r w:rsidR="006F409E">
          <w:rPr>
            <w:noProof/>
            <w:webHidden/>
          </w:rPr>
          <w:fldChar w:fldCharType="begin"/>
        </w:r>
        <w:r w:rsidR="0014230F">
          <w:rPr>
            <w:noProof/>
            <w:webHidden/>
          </w:rPr>
          <w:instrText xml:space="preserve"> PAGEREF _Toc357762659 \h </w:instrText>
        </w:r>
        <w:r w:rsidR="006F409E">
          <w:rPr>
            <w:noProof/>
            <w:webHidden/>
          </w:rPr>
        </w:r>
        <w:r w:rsidR="006F409E">
          <w:rPr>
            <w:noProof/>
            <w:webHidden/>
          </w:rPr>
          <w:fldChar w:fldCharType="separate"/>
        </w:r>
        <w:r w:rsidR="00C36E4C">
          <w:rPr>
            <w:noProof/>
            <w:webHidden/>
          </w:rPr>
          <w:t>4</w:t>
        </w:r>
        <w:r w:rsidR="006F409E">
          <w:rPr>
            <w:noProof/>
            <w:webHidden/>
          </w:rPr>
          <w:fldChar w:fldCharType="end"/>
        </w:r>
      </w:hyperlink>
    </w:p>
    <w:p w:rsidR="0014230F" w:rsidRDefault="002D1AC6">
      <w:pPr>
        <w:pStyle w:val="TOC2"/>
        <w:tabs>
          <w:tab w:val="left" w:pos="1100"/>
          <w:tab w:val="right" w:leader="dot" w:pos="9350"/>
        </w:tabs>
        <w:rPr>
          <w:rFonts w:asciiTheme="minorHAnsi" w:eastAsiaTheme="minorEastAsia" w:hAnsiTheme="minorHAnsi" w:cstheme="minorBidi"/>
          <w:noProof/>
          <w:sz w:val="22"/>
          <w:szCs w:val="22"/>
        </w:rPr>
      </w:pPr>
      <w:hyperlink w:anchor="_Toc357762660" w:history="1">
        <w:r w:rsidR="0014230F" w:rsidRPr="00BD71A8">
          <w:rPr>
            <w:rStyle w:val="Hyperlink"/>
            <w:noProof/>
          </w:rPr>
          <w:t>1.06</w:t>
        </w:r>
        <w:r w:rsidR="0014230F">
          <w:rPr>
            <w:rFonts w:asciiTheme="minorHAnsi" w:eastAsiaTheme="minorEastAsia" w:hAnsiTheme="minorHAnsi" w:cstheme="minorBidi"/>
            <w:noProof/>
            <w:sz w:val="22"/>
            <w:szCs w:val="22"/>
          </w:rPr>
          <w:tab/>
        </w:r>
        <w:r w:rsidR="0014230F" w:rsidRPr="00BD71A8">
          <w:rPr>
            <w:rStyle w:val="Hyperlink"/>
            <w:noProof/>
          </w:rPr>
          <w:t>Gross Realization Rate</w:t>
        </w:r>
        <w:r w:rsidR="0014230F">
          <w:rPr>
            <w:noProof/>
            <w:webHidden/>
          </w:rPr>
          <w:tab/>
        </w:r>
        <w:r w:rsidR="006F409E">
          <w:rPr>
            <w:noProof/>
            <w:webHidden/>
          </w:rPr>
          <w:fldChar w:fldCharType="begin"/>
        </w:r>
        <w:r w:rsidR="0014230F">
          <w:rPr>
            <w:noProof/>
            <w:webHidden/>
          </w:rPr>
          <w:instrText xml:space="preserve"> PAGEREF _Toc357762660 \h </w:instrText>
        </w:r>
        <w:r w:rsidR="006F409E">
          <w:rPr>
            <w:noProof/>
            <w:webHidden/>
          </w:rPr>
        </w:r>
        <w:r w:rsidR="006F409E">
          <w:rPr>
            <w:noProof/>
            <w:webHidden/>
          </w:rPr>
          <w:fldChar w:fldCharType="separate"/>
        </w:r>
        <w:r w:rsidR="00C36E4C">
          <w:rPr>
            <w:noProof/>
            <w:webHidden/>
          </w:rPr>
          <w:t>5</w:t>
        </w:r>
        <w:r w:rsidR="006F409E">
          <w:rPr>
            <w:noProof/>
            <w:webHidden/>
          </w:rPr>
          <w:fldChar w:fldCharType="end"/>
        </w:r>
      </w:hyperlink>
    </w:p>
    <w:p w:rsidR="0014230F" w:rsidRDefault="002D1AC6">
      <w:pPr>
        <w:pStyle w:val="TOC1"/>
        <w:tabs>
          <w:tab w:val="right" w:leader="dot" w:pos="9350"/>
        </w:tabs>
        <w:rPr>
          <w:rFonts w:asciiTheme="minorHAnsi" w:eastAsiaTheme="minorEastAsia" w:hAnsiTheme="minorHAnsi" w:cstheme="minorBidi"/>
          <w:noProof/>
          <w:sz w:val="22"/>
          <w:szCs w:val="22"/>
        </w:rPr>
      </w:pPr>
      <w:hyperlink w:anchor="_Toc357762661" w:history="1">
        <w:r w:rsidR="0014230F" w:rsidRPr="00BD71A8">
          <w:rPr>
            <w:rStyle w:val="Hyperlink"/>
            <w:noProof/>
          </w:rPr>
          <w:t>SECTION 2 - Energy Savings &amp; Demand Reduction Calculations</w:t>
        </w:r>
        <w:r w:rsidR="0014230F">
          <w:rPr>
            <w:noProof/>
            <w:webHidden/>
          </w:rPr>
          <w:tab/>
        </w:r>
        <w:r w:rsidR="006F409E">
          <w:rPr>
            <w:noProof/>
            <w:webHidden/>
          </w:rPr>
          <w:fldChar w:fldCharType="begin"/>
        </w:r>
        <w:r w:rsidR="0014230F">
          <w:rPr>
            <w:noProof/>
            <w:webHidden/>
          </w:rPr>
          <w:instrText xml:space="preserve"> PAGEREF _Toc357762661 \h </w:instrText>
        </w:r>
        <w:r w:rsidR="006F409E">
          <w:rPr>
            <w:noProof/>
            <w:webHidden/>
          </w:rPr>
        </w:r>
        <w:r w:rsidR="006F409E">
          <w:rPr>
            <w:noProof/>
            <w:webHidden/>
          </w:rPr>
          <w:fldChar w:fldCharType="separate"/>
        </w:r>
        <w:r w:rsidR="00C36E4C">
          <w:rPr>
            <w:noProof/>
            <w:webHidden/>
          </w:rPr>
          <w:t>5</w:t>
        </w:r>
        <w:r w:rsidR="006F409E">
          <w:rPr>
            <w:noProof/>
            <w:webHidden/>
          </w:rPr>
          <w:fldChar w:fldCharType="end"/>
        </w:r>
      </w:hyperlink>
    </w:p>
    <w:p w:rsidR="0014230F" w:rsidRDefault="002D1AC6">
      <w:pPr>
        <w:pStyle w:val="TOC2"/>
        <w:tabs>
          <w:tab w:val="left" w:pos="1100"/>
          <w:tab w:val="right" w:leader="dot" w:pos="9350"/>
        </w:tabs>
        <w:rPr>
          <w:rFonts w:asciiTheme="minorHAnsi" w:eastAsiaTheme="minorEastAsia" w:hAnsiTheme="minorHAnsi" w:cstheme="minorBidi"/>
          <w:noProof/>
          <w:sz w:val="22"/>
          <w:szCs w:val="22"/>
        </w:rPr>
      </w:pPr>
      <w:hyperlink w:anchor="_Toc357762662" w:history="1">
        <w:r w:rsidR="0014230F" w:rsidRPr="00BD71A8">
          <w:rPr>
            <w:rStyle w:val="Hyperlink"/>
            <w:noProof/>
          </w:rPr>
          <w:t>2.01</w:t>
        </w:r>
        <w:r w:rsidR="0014230F">
          <w:rPr>
            <w:rFonts w:asciiTheme="minorHAnsi" w:eastAsiaTheme="minorEastAsia" w:hAnsiTheme="minorHAnsi" w:cstheme="minorBidi"/>
            <w:noProof/>
            <w:sz w:val="22"/>
            <w:szCs w:val="22"/>
          </w:rPr>
          <w:tab/>
        </w:r>
        <w:r w:rsidR="0014230F" w:rsidRPr="00BD71A8">
          <w:rPr>
            <w:rStyle w:val="Hyperlink"/>
            <w:noProof/>
          </w:rPr>
          <w:t>Load Shapes</w:t>
        </w:r>
        <w:r w:rsidR="0014230F">
          <w:rPr>
            <w:noProof/>
            <w:webHidden/>
          </w:rPr>
          <w:tab/>
        </w:r>
        <w:r w:rsidR="006F409E">
          <w:rPr>
            <w:noProof/>
            <w:webHidden/>
          </w:rPr>
          <w:fldChar w:fldCharType="begin"/>
        </w:r>
        <w:r w:rsidR="0014230F">
          <w:rPr>
            <w:noProof/>
            <w:webHidden/>
          </w:rPr>
          <w:instrText xml:space="preserve"> PAGEREF _Toc357762662 \h </w:instrText>
        </w:r>
        <w:r w:rsidR="006F409E">
          <w:rPr>
            <w:noProof/>
            <w:webHidden/>
          </w:rPr>
        </w:r>
        <w:r w:rsidR="006F409E">
          <w:rPr>
            <w:noProof/>
            <w:webHidden/>
          </w:rPr>
          <w:fldChar w:fldCharType="separate"/>
        </w:r>
        <w:r w:rsidR="00C36E4C">
          <w:rPr>
            <w:noProof/>
            <w:webHidden/>
          </w:rPr>
          <w:t>5</w:t>
        </w:r>
        <w:r w:rsidR="006F409E">
          <w:rPr>
            <w:noProof/>
            <w:webHidden/>
          </w:rPr>
          <w:fldChar w:fldCharType="end"/>
        </w:r>
      </w:hyperlink>
    </w:p>
    <w:p w:rsidR="0014230F" w:rsidRDefault="002D1AC6">
      <w:pPr>
        <w:pStyle w:val="TOC2"/>
        <w:tabs>
          <w:tab w:val="left" w:pos="1100"/>
          <w:tab w:val="right" w:leader="dot" w:pos="9350"/>
        </w:tabs>
        <w:rPr>
          <w:rFonts w:asciiTheme="minorHAnsi" w:eastAsiaTheme="minorEastAsia" w:hAnsiTheme="minorHAnsi" w:cstheme="minorBidi"/>
          <w:noProof/>
          <w:sz w:val="22"/>
          <w:szCs w:val="22"/>
        </w:rPr>
      </w:pPr>
      <w:hyperlink w:anchor="_Toc357762663" w:history="1">
        <w:r w:rsidR="0014230F" w:rsidRPr="00BD71A8">
          <w:rPr>
            <w:rStyle w:val="Hyperlink"/>
            <w:noProof/>
          </w:rPr>
          <w:t>2.02</w:t>
        </w:r>
        <w:r w:rsidR="0014230F">
          <w:rPr>
            <w:rFonts w:asciiTheme="minorHAnsi" w:eastAsiaTheme="minorEastAsia" w:hAnsiTheme="minorHAnsi" w:cstheme="minorBidi"/>
            <w:noProof/>
            <w:sz w:val="22"/>
            <w:szCs w:val="22"/>
          </w:rPr>
          <w:tab/>
        </w:r>
        <w:r w:rsidR="0014230F" w:rsidRPr="00BD71A8">
          <w:rPr>
            <w:rStyle w:val="Hyperlink"/>
            <w:noProof/>
          </w:rPr>
          <w:t>Energy Savings</w:t>
        </w:r>
        <w:r w:rsidR="0014230F">
          <w:rPr>
            <w:noProof/>
            <w:webHidden/>
          </w:rPr>
          <w:tab/>
        </w:r>
        <w:r w:rsidR="006F409E">
          <w:rPr>
            <w:noProof/>
            <w:webHidden/>
          </w:rPr>
          <w:fldChar w:fldCharType="begin"/>
        </w:r>
        <w:r w:rsidR="0014230F">
          <w:rPr>
            <w:noProof/>
            <w:webHidden/>
          </w:rPr>
          <w:instrText xml:space="preserve"> PAGEREF _Toc357762663 \h </w:instrText>
        </w:r>
        <w:r w:rsidR="006F409E">
          <w:rPr>
            <w:noProof/>
            <w:webHidden/>
          </w:rPr>
        </w:r>
        <w:r w:rsidR="006F409E">
          <w:rPr>
            <w:noProof/>
            <w:webHidden/>
          </w:rPr>
          <w:fldChar w:fldCharType="separate"/>
        </w:r>
        <w:r w:rsidR="00C36E4C">
          <w:rPr>
            <w:noProof/>
            <w:webHidden/>
          </w:rPr>
          <w:t>5</w:t>
        </w:r>
        <w:r w:rsidR="006F409E">
          <w:rPr>
            <w:noProof/>
            <w:webHidden/>
          </w:rPr>
          <w:fldChar w:fldCharType="end"/>
        </w:r>
      </w:hyperlink>
    </w:p>
    <w:p w:rsidR="0014230F" w:rsidRDefault="002D1AC6">
      <w:pPr>
        <w:pStyle w:val="TOC1"/>
        <w:tabs>
          <w:tab w:val="right" w:leader="dot" w:pos="9350"/>
        </w:tabs>
        <w:rPr>
          <w:rFonts w:asciiTheme="minorHAnsi" w:eastAsiaTheme="minorEastAsia" w:hAnsiTheme="minorHAnsi" w:cstheme="minorBidi"/>
          <w:noProof/>
          <w:sz w:val="22"/>
          <w:szCs w:val="22"/>
        </w:rPr>
      </w:pPr>
      <w:hyperlink w:anchor="_Toc357762664" w:history="1">
        <w:r w:rsidR="0014230F" w:rsidRPr="00BD71A8">
          <w:rPr>
            <w:rStyle w:val="Hyperlink"/>
            <w:noProof/>
          </w:rPr>
          <w:t>SECTION 3 - Base Case &amp; Measure Costs</w:t>
        </w:r>
        <w:r w:rsidR="0014230F">
          <w:rPr>
            <w:noProof/>
            <w:webHidden/>
          </w:rPr>
          <w:tab/>
        </w:r>
        <w:r w:rsidR="006F409E">
          <w:rPr>
            <w:noProof/>
            <w:webHidden/>
          </w:rPr>
          <w:fldChar w:fldCharType="begin"/>
        </w:r>
        <w:r w:rsidR="0014230F">
          <w:rPr>
            <w:noProof/>
            <w:webHidden/>
          </w:rPr>
          <w:instrText xml:space="preserve"> PAGEREF _Toc357762664 \h </w:instrText>
        </w:r>
        <w:r w:rsidR="006F409E">
          <w:rPr>
            <w:noProof/>
            <w:webHidden/>
          </w:rPr>
        </w:r>
        <w:r w:rsidR="006F409E">
          <w:rPr>
            <w:noProof/>
            <w:webHidden/>
          </w:rPr>
          <w:fldChar w:fldCharType="separate"/>
        </w:r>
        <w:r w:rsidR="00C36E4C">
          <w:rPr>
            <w:noProof/>
            <w:webHidden/>
          </w:rPr>
          <w:t>6</w:t>
        </w:r>
        <w:r w:rsidR="006F409E">
          <w:rPr>
            <w:noProof/>
            <w:webHidden/>
          </w:rPr>
          <w:fldChar w:fldCharType="end"/>
        </w:r>
      </w:hyperlink>
    </w:p>
    <w:p w:rsidR="0014230F" w:rsidRDefault="002D1AC6">
      <w:pPr>
        <w:pStyle w:val="TOC2"/>
        <w:tabs>
          <w:tab w:val="left" w:pos="1100"/>
          <w:tab w:val="right" w:leader="dot" w:pos="9350"/>
        </w:tabs>
        <w:rPr>
          <w:rFonts w:asciiTheme="minorHAnsi" w:eastAsiaTheme="minorEastAsia" w:hAnsiTheme="minorHAnsi" w:cstheme="minorBidi"/>
          <w:noProof/>
          <w:sz w:val="22"/>
          <w:szCs w:val="22"/>
        </w:rPr>
      </w:pPr>
      <w:hyperlink w:anchor="_Toc357762665" w:history="1">
        <w:r w:rsidR="0014230F" w:rsidRPr="00BD71A8">
          <w:rPr>
            <w:rStyle w:val="Hyperlink"/>
            <w:noProof/>
          </w:rPr>
          <w:t>3.01</w:t>
        </w:r>
        <w:r w:rsidR="0014230F">
          <w:rPr>
            <w:rFonts w:asciiTheme="minorHAnsi" w:eastAsiaTheme="minorEastAsia" w:hAnsiTheme="minorHAnsi" w:cstheme="minorBidi"/>
            <w:noProof/>
            <w:sz w:val="22"/>
            <w:szCs w:val="22"/>
          </w:rPr>
          <w:tab/>
        </w:r>
        <w:r w:rsidR="0014230F" w:rsidRPr="00BD71A8">
          <w:rPr>
            <w:rStyle w:val="Hyperlink"/>
            <w:noProof/>
          </w:rPr>
          <w:t>Base Case Cost</w:t>
        </w:r>
        <w:r w:rsidR="0014230F">
          <w:rPr>
            <w:noProof/>
            <w:webHidden/>
          </w:rPr>
          <w:tab/>
        </w:r>
        <w:r w:rsidR="006F409E">
          <w:rPr>
            <w:noProof/>
            <w:webHidden/>
          </w:rPr>
          <w:fldChar w:fldCharType="begin"/>
        </w:r>
        <w:r w:rsidR="0014230F">
          <w:rPr>
            <w:noProof/>
            <w:webHidden/>
          </w:rPr>
          <w:instrText xml:space="preserve"> PAGEREF _Toc357762665 \h </w:instrText>
        </w:r>
        <w:r w:rsidR="006F409E">
          <w:rPr>
            <w:noProof/>
            <w:webHidden/>
          </w:rPr>
        </w:r>
        <w:r w:rsidR="006F409E">
          <w:rPr>
            <w:noProof/>
            <w:webHidden/>
          </w:rPr>
          <w:fldChar w:fldCharType="separate"/>
        </w:r>
        <w:r w:rsidR="00C36E4C">
          <w:rPr>
            <w:noProof/>
            <w:webHidden/>
          </w:rPr>
          <w:t>6</w:t>
        </w:r>
        <w:r w:rsidR="006F409E">
          <w:rPr>
            <w:noProof/>
            <w:webHidden/>
          </w:rPr>
          <w:fldChar w:fldCharType="end"/>
        </w:r>
      </w:hyperlink>
    </w:p>
    <w:p w:rsidR="0014230F" w:rsidRDefault="002D1AC6">
      <w:pPr>
        <w:pStyle w:val="TOC2"/>
        <w:tabs>
          <w:tab w:val="left" w:pos="1100"/>
          <w:tab w:val="right" w:leader="dot" w:pos="9350"/>
        </w:tabs>
        <w:rPr>
          <w:rFonts w:asciiTheme="minorHAnsi" w:eastAsiaTheme="minorEastAsia" w:hAnsiTheme="minorHAnsi" w:cstheme="minorBidi"/>
          <w:noProof/>
          <w:sz w:val="22"/>
          <w:szCs w:val="22"/>
        </w:rPr>
      </w:pPr>
      <w:hyperlink w:anchor="_Toc357762666" w:history="1">
        <w:r w:rsidR="0014230F" w:rsidRPr="00BD71A8">
          <w:rPr>
            <w:rStyle w:val="Hyperlink"/>
            <w:noProof/>
          </w:rPr>
          <w:t>3.02</w:t>
        </w:r>
        <w:r w:rsidR="0014230F">
          <w:rPr>
            <w:rFonts w:asciiTheme="minorHAnsi" w:eastAsiaTheme="minorEastAsia" w:hAnsiTheme="minorHAnsi" w:cstheme="minorBidi"/>
            <w:noProof/>
            <w:sz w:val="22"/>
            <w:szCs w:val="22"/>
          </w:rPr>
          <w:tab/>
        </w:r>
        <w:r w:rsidR="0014230F" w:rsidRPr="00BD71A8">
          <w:rPr>
            <w:rStyle w:val="Hyperlink"/>
            <w:noProof/>
          </w:rPr>
          <w:t>Gross Measure Cost</w:t>
        </w:r>
        <w:r w:rsidR="0014230F">
          <w:rPr>
            <w:noProof/>
            <w:webHidden/>
          </w:rPr>
          <w:tab/>
        </w:r>
        <w:r w:rsidR="006F409E">
          <w:rPr>
            <w:noProof/>
            <w:webHidden/>
          </w:rPr>
          <w:fldChar w:fldCharType="begin"/>
        </w:r>
        <w:r w:rsidR="0014230F">
          <w:rPr>
            <w:noProof/>
            <w:webHidden/>
          </w:rPr>
          <w:instrText xml:space="preserve"> PAGEREF _Toc357762666 \h </w:instrText>
        </w:r>
        <w:r w:rsidR="006F409E">
          <w:rPr>
            <w:noProof/>
            <w:webHidden/>
          </w:rPr>
        </w:r>
        <w:r w:rsidR="006F409E">
          <w:rPr>
            <w:noProof/>
            <w:webHidden/>
          </w:rPr>
          <w:fldChar w:fldCharType="separate"/>
        </w:r>
        <w:r w:rsidR="00C36E4C">
          <w:rPr>
            <w:noProof/>
            <w:webHidden/>
          </w:rPr>
          <w:t>7</w:t>
        </w:r>
        <w:r w:rsidR="006F409E">
          <w:rPr>
            <w:noProof/>
            <w:webHidden/>
          </w:rPr>
          <w:fldChar w:fldCharType="end"/>
        </w:r>
      </w:hyperlink>
    </w:p>
    <w:p w:rsidR="0014230F" w:rsidRDefault="002D1AC6">
      <w:pPr>
        <w:pStyle w:val="TOC2"/>
        <w:tabs>
          <w:tab w:val="left" w:pos="1100"/>
          <w:tab w:val="right" w:leader="dot" w:pos="9350"/>
        </w:tabs>
        <w:rPr>
          <w:rFonts w:asciiTheme="minorHAnsi" w:eastAsiaTheme="minorEastAsia" w:hAnsiTheme="minorHAnsi" w:cstheme="minorBidi"/>
          <w:noProof/>
          <w:sz w:val="22"/>
          <w:szCs w:val="22"/>
        </w:rPr>
      </w:pPr>
      <w:hyperlink w:anchor="_Toc357762667" w:history="1">
        <w:r w:rsidR="0014230F" w:rsidRPr="00BD71A8">
          <w:rPr>
            <w:rStyle w:val="Hyperlink"/>
            <w:noProof/>
          </w:rPr>
          <w:t>3.03</w:t>
        </w:r>
        <w:r w:rsidR="0014230F">
          <w:rPr>
            <w:rFonts w:asciiTheme="minorHAnsi" w:eastAsiaTheme="minorEastAsia" w:hAnsiTheme="minorHAnsi" w:cstheme="minorBidi"/>
            <w:noProof/>
            <w:sz w:val="22"/>
            <w:szCs w:val="22"/>
          </w:rPr>
          <w:tab/>
        </w:r>
        <w:r w:rsidR="0014230F" w:rsidRPr="00BD71A8">
          <w:rPr>
            <w:rStyle w:val="Hyperlink"/>
            <w:noProof/>
          </w:rPr>
          <w:t>Incremental Measure Cost</w:t>
        </w:r>
        <w:r w:rsidR="0014230F">
          <w:rPr>
            <w:noProof/>
            <w:webHidden/>
          </w:rPr>
          <w:tab/>
        </w:r>
        <w:r w:rsidR="006F409E">
          <w:rPr>
            <w:noProof/>
            <w:webHidden/>
          </w:rPr>
          <w:fldChar w:fldCharType="begin"/>
        </w:r>
        <w:r w:rsidR="0014230F">
          <w:rPr>
            <w:noProof/>
            <w:webHidden/>
          </w:rPr>
          <w:instrText xml:space="preserve"> PAGEREF _Toc357762667 \h </w:instrText>
        </w:r>
        <w:r w:rsidR="006F409E">
          <w:rPr>
            <w:noProof/>
            <w:webHidden/>
          </w:rPr>
        </w:r>
        <w:r w:rsidR="006F409E">
          <w:rPr>
            <w:noProof/>
            <w:webHidden/>
          </w:rPr>
          <w:fldChar w:fldCharType="separate"/>
        </w:r>
        <w:r w:rsidR="00C36E4C">
          <w:rPr>
            <w:noProof/>
            <w:webHidden/>
          </w:rPr>
          <w:t>9</w:t>
        </w:r>
        <w:r w:rsidR="006F409E">
          <w:rPr>
            <w:noProof/>
            <w:webHidden/>
          </w:rPr>
          <w:fldChar w:fldCharType="end"/>
        </w:r>
      </w:hyperlink>
    </w:p>
    <w:p w:rsidR="0014230F" w:rsidRDefault="002D1AC6">
      <w:pPr>
        <w:pStyle w:val="TOC1"/>
        <w:tabs>
          <w:tab w:val="right" w:leader="dot" w:pos="9350"/>
        </w:tabs>
        <w:rPr>
          <w:rFonts w:asciiTheme="minorHAnsi" w:eastAsiaTheme="minorEastAsia" w:hAnsiTheme="minorHAnsi" w:cstheme="minorBidi"/>
          <w:noProof/>
          <w:sz w:val="22"/>
          <w:szCs w:val="22"/>
        </w:rPr>
      </w:pPr>
      <w:hyperlink w:anchor="_Toc357762668" w:history="1">
        <w:r w:rsidR="0014230F" w:rsidRPr="00BD71A8">
          <w:rPr>
            <w:rStyle w:val="Hyperlink"/>
            <w:noProof/>
          </w:rPr>
          <w:t>Attachments</w:t>
        </w:r>
        <w:r w:rsidR="0014230F">
          <w:rPr>
            <w:noProof/>
            <w:webHidden/>
          </w:rPr>
          <w:tab/>
        </w:r>
        <w:r w:rsidR="006F409E">
          <w:rPr>
            <w:noProof/>
            <w:webHidden/>
          </w:rPr>
          <w:fldChar w:fldCharType="begin"/>
        </w:r>
        <w:r w:rsidR="0014230F">
          <w:rPr>
            <w:noProof/>
            <w:webHidden/>
          </w:rPr>
          <w:instrText xml:space="preserve"> PAGEREF _Toc357762668 \h </w:instrText>
        </w:r>
        <w:r w:rsidR="006F409E">
          <w:rPr>
            <w:noProof/>
            <w:webHidden/>
          </w:rPr>
        </w:r>
        <w:r w:rsidR="006F409E">
          <w:rPr>
            <w:noProof/>
            <w:webHidden/>
          </w:rPr>
          <w:fldChar w:fldCharType="separate"/>
        </w:r>
        <w:r w:rsidR="00C36E4C">
          <w:rPr>
            <w:noProof/>
            <w:webHidden/>
          </w:rPr>
          <w:t>10</w:t>
        </w:r>
        <w:r w:rsidR="006F409E">
          <w:rPr>
            <w:noProof/>
            <w:webHidden/>
          </w:rPr>
          <w:fldChar w:fldCharType="end"/>
        </w:r>
      </w:hyperlink>
    </w:p>
    <w:p w:rsidR="0014230F" w:rsidRDefault="002D1AC6">
      <w:pPr>
        <w:pStyle w:val="TOC1"/>
        <w:tabs>
          <w:tab w:val="right" w:leader="dot" w:pos="9350"/>
        </w:tabs>
        <w:rPr>
          <w:rFonts w:asciiTheme="minorHAnsi" w:eastAsiaTheme="minorEastAsia" w:hAnsiTheme="minorHAnsi" w:cstheme="minorBidi"/>
          <w:noProof/>
          <w:sz w:val="22"/>
          <w:szCs w:val="22"/>
        </w:rPr>
      </w:pPr>
      <w:hyperlink w:anchor="_Toc357762669" w:history="1">
        <w:r w:rsidR="0014230F" w:rsidRPr="00BD71A8">
          <w:rPr>
            <w:rStyle w:val="Hyperlink"/>
            <w:rFonts w:cs="Arial"/>
            <w:bCs/>
            <w:noProof/>
            <w:kern w:val="32"/>
          </w:rPr>
          <w:t>References</w:t>
        </w:r>
        <w:r w:rsidR="0014230F">
          <w:rPr>
            <w:noProof/>
            <w:webHidden/>
          </w:rPr>
          <w:tab/>
        </w:r>
        <w:r w:rsidR="006F409E">
          <w:rPr>
            <w:noProof/>
            <w:webHidden/>
          </w:rPr>
          <w:fldChar w:fldCharType="begin"/>
        </w:r>
        <w:r w:rsidR="0014230F">
          <w:rPr>
            <w:noProof/>
            <w:webHidden/>
          </w:rPr>
          <w:instrText xml:space="preserve"> PAGEREF _Toc357762669 \h </w:instrText>
        </w:r>
        <w:r w:rsidR="006F409E">
          <w:rPr>
            <w:noProof/>
            <w:webHidden/>
          </w:rPr>
        </w:r>
        <w:r w:rsidR="006F409E">
          <w:rPr>
            <w:noProof/>
            <w:webHidden/>
          </w:rPr>
          <w:fldChar w:fldCharType="separate"/>
        </w:r>
        <w:r w:rsidR="00C36E4C">
          <w:rPr>
            <w:noProof/>
            <w:webHidden/>
          </w:rPr>
          <w:t>11</w:t>
        </w:r>
        <w:r w:rsidR="006F409E">
          <w:rPr>
            <w:noProof/>
            <w:webHidden/>
          </w:rPr>
          <w:fldChar w:fldCharType="end"/>
        </w:r>
      </w:hyperlink>
    </w:p>
    <w:p w:rsidR="00B07AE0" w:rsidRDefault="006F409E" w:rsidP="00AD2624">
      <w:pPr>
        <w:pStyle w:val="Pref"/>
        <w:rPr>
          <w:rFonts w:ascii="Times New Roman" w:hAnsi="Times New Roman" w:cs="Times New Roman"/>
          <w:bCs w:val="0"/>
          <w:kern w:val="0"/>
          <w:sz w:val="24"/>
          <w:szCs w:val="24"/>
        </w:rPr>
      </w:pPr>
      <w:r>
        <w:rPr>
          <w:rFonts w:ascii="Times New Roman" w:hAnsi="Times New Roman" w:cs="Times New Roman"/>
          <w:kern w:val="0"/>
          <w:sz w:val="24"/>
          <w:szCs w:val="24"/>
        </w:rPr>
        <w:fldChar w:fldCharType="end"/>
      </w:r>
      <w:r w:rsidR="002F29DD">
        <w:br w:type="page"/>
      </w:r>
    </w:p>
    <w:p w:rsidR="002F29DD" w:rsidRDefault="002F29DD" w:rsidP="002F29DD">
      <w:pPr>
        <w:pStyle w:val="Pref"/>
      </w:pPr>
      <w:bookmarkStart w:id="7" w:name="_Toc357762653"/>
      <w:r>
        <w:lastRenderedPageBreak/>
        <w:t>List of Tables</w:t>
      </w:r>
      <w:bookmarkEnd w:id="7"/>
    </w:p>
    <w:p w:rsidR="00F44075" w:rsidRDefault="00F44075">
      <w:pPr>
        <w:pStyle w:val="TableofFigures"/>
        <w:tabs>
          <w:tab w:val="right" w:leader="dot" w:pos="9350"/>
        </w:tabs>
      </w:pPr>
    </w:p>
    <w:p w:rsidR="003322A7" w:rsidRDefault="006F409E">
      <w:pPr>
        <w:pStyle w:val="TableofFigures"/>
        <w:tabs>
          <w:tab w:val="right" w:leader="dot" w:pos="9350"/>
        </w:tabs>
        <w:rPr>
          <w:rFonts w:asciiTheme="minorHAnsi" w:eastAsiaTheme="minorEastAsia" w:hAnsiTheme="minorHAnsi" w:cstheme="minorBidi"/>
          <w:noProof/>
          <w:sz w:val="22"/>
          <w:szCs w:val="22"/>
          <w:lang w:eastAsia="zh-TW"/>
        </w:rPr>
      </w:pPr>
      <w:r>
        <w:fldChar w:fldCharType="begin"/>
      </w:r>
      <w:r w:rsidR="00132837">
        <w:instrText xml:space="preserve"> TOC \h \z \c "Table" </w:instrText>
      </w:r>
      <w:r>
        <w:fldChar w:fldCharType="separate"/>
      </w:r>
      <w:hyperlink w:anchor="_Toc384913193" w:history="1">
        <w:r w:rsidR="003322A7" w:rsidRPr="0054282C">
          <w:rPr>
            <w:rStyle w:val="Hyperlink"/>
            <w:noProof/>
          </w:rPr>
          <w:t>Table 1: Measure Application Type</w:t>
        </w:r>
        <w:r w:rsidR="003322A7">
          <w:rPr>
            <w:noProof/>
            <w:webHidden/>
          </w:rPr>
          <w:tab/>
        </w:r>
        <w:r w:rsidR="003322A7">
          <w:rPr>
            <w:noProof/>
            <w:webHidden/>
          </w:rPr>
          <w:fldChar w:fldCharType="begin"/>
        </w:r>
        <w:r w:rsidR="003322A7">
          <w:rPr>
            <w:noProof/>
            <w:webHidden/>
          </w:rPr>
          <w:instrText xml:space="preserve"> PAGEREF _Toc384913193 \h </w:instrText>
        </w:r>
        <w:r w:rsidR="003322A7">
          <w:rPr>
            <w:noProof/>
            <w:webHidden/>
          </w:rPr>
        </w:r>
        <w:r w:rsidR="003322A7">
          <w:rPr>
            <w:noProof/>
            <w:webHidden/>
          </w:rPr>
          <w:fldChar w:fldCharType="separate"/>
        </w:r>
        <w:r w:rsidR="00C36E4C">
          <w:rPr>
            <w:noProof/>
            <w:webHidden/>
          </w:rPr>
          <w:t>2</w:t>
        </w:r>
        <w:r w:rsidR="003322A7">
          <w:rPr>
            <w:noProof/>
            <w:webHidden/>
          </w:rPr>
          <w:fldChar w:fldCharType="end"/>
        </w:r>
      </w:hyperlink>
    </w:p>
    <w:p w:rsidR="003322A7" w:rsidRDefault="002D1AC6">
      <w:pPr>
        <w:pStyle w:val="TableofFigures"/>
        <w:tabs>
          <w:tab w:val="right" w:leader="dot" w:pos="9350"/>
        </w:tabs>
        <w:rPr>
          <w:rFonts w:asciiTheme="minorHAnsi" w:eastAsiaTheme="minorEastAsia" w:hAnsiTheme="minorHAnsi" w:cstheme="minorBidi"/>
          <w:noProof/>
          <w:sz w:val="22"/>
          <w:szCs w:val="22"/>
          <w:lang w:eastAsia="zh-TW"/>
        </w:rPr>
      </w:pPr>
      <w:hyperlink w:anchor="_Toc384913194" w:history="1">
        <w:r w:rsidR="003322A7" w:rsidRPr="0054282C">
          <w:rPr>
            <w:rStyle w:val="Hyperlink"/>
            <w:noProof/>
          </w:rPr>
          <w:t>Table 2: DEER Use and Technology Table</w:t>
        </w:r>
        <w:r w:rsidR="003322A7">
          <w:rPr>
            <w:noProof/>
            <w:webHidden/>
          </w:rPr>
          <w:tab/>
        </w:r>
        <w:r w:rsidR="003322A7">
          <w:rPr>
            <w:noProof/>
            <w:webHidden/>
          </w:rPr>
          <w:fldChar w:fldCharType="begin"/>
        </w:r>
        <w:r w:rsidR="003322A7">
          <w:rPr>
            <w:noProof/>
            <w:webHidden/>
          </w:rPr>
          <w:instrText xml:space="preserve"> PAGEREF _Toc384913194 \h </w:instrText>
        </w:r>
        <w:r w:rsidR="003322A7">
          <w:rPr>
            <w:noProof/>
            <w:webHidden/>
          </w:rPr>
        </w:r>
        <w:r w:rsidR="003322A7">
          <w:rPr>
            <w:noProof/>
            <w:webHidden/>
          </w:rPr>
          <w:fldChar w:fldCharType="separate"/>
        </w:r>
        <w:r w:rsidR="00C36E4C">
          <w:rPr>
            <w:noProof/>
            <w:webHidden/>
          </w:rPr>
          <w:t>3</w:t>
        </w:r>
        <w:r w:rsidR="003322A7">
          <w:rPr>
            <w:noProof/>
            <w:webHidden/>
          </w:rPr>
          <w:fldChar w:fldCharType="end"/>
        </w:r>
      </w:hyperlink>
    </w:p>
    <w:p w:rsidR="003322A7" w:rsidRDefault="002D1AC6">
      <w:pPr>
        <w:pStyle w:val="TableofFigures"/>
        <w:tabs>
          <w:tab w:val="right" w:leader="dot" w:pos="9350"/>
        </w:tabs>
        <w:rPr>
          <w:rFonts w:asciiTheme="minorHAnsi" w:eastAsiaTheme="minorEastAsia" w:hAnsiTheme="minorHAnsi" w:cstheme="minorBidi"/>
          <w:noProof/>
          <w:sz w:val="22"/>
          <w:szCs w:val="22"/>
          <w:lang w:eastAsia="zh-TW"/>
        </w:rPr>
      </w:pPr>
      <w:hyperlink w:anchor="_Toc384913195" w:history="1">
        <w:r w:rsidR="003322A7" w:rsidRPr="0054282C">
          <w:rPr>
            <w:rStyle w:val="Hyperlink"/>
            <w:noProof/>
          </w:rPr>
          <w:t>Table 3: Effective Useful Life</w:t>
        </w:r>
        <w:r w:rsidR="003322A7">
          <w:rPr>
            <w:noProof/>
            <w:webHidden/>
          </w:rPr>
          <w:tab/>
        </w:r>
        <w:r w:rsidR="003322A7">
          <w:rPr>
            <w:noProof/>
            <w:webHidden/>
          </w:rPr>
          <w:fldChar w:fldCharType="begin"/>
        </w:r>
        <w:r w:rsidR="003322A7">
          <w:rPr>
            <w:noProof/>
            <w:webHidden/>
          </w:rPr>
          <w:instrText xml:space="preserve"> PAGEREF _Toc384913195 \h </w:instrText>
        </w:r>
        <w:r w:rsidR="003322A7">
          <w:rPr>
            <w:noProof/>
            <w:webHidden/>
          </w:rPr>
        </w:r>
        <w:r w:rsidR="003322A7">
          <w:rPr>
            <w:noProof/>
            <w:webHidden/>
          </w:rPr>
          <w:fldChar w:fldCharType="separate"/>
        </w:r>
        <w:r w:rsidR="00C36E4C">
          <w:rPr>
            <w:noProof/>
            <w:webHidden/>
          </w:rPr>
          <w:t>4</w:t>
        </w:r>
        <w:r w:rsidR="003322A7">
          <w:rPr>
            <w:noProof/>
            <w:webHidden/>
          </w:rPr>
          <w:fldChar w:fldCharType="end"/>
        </w:r>
      </w:hyperlink>
    </w:p>
    <w:p w:rsidR="003322A7" w:rsidRDefault="002D1AC6">
      <w:pPr>
        <w:pStyle w:val="TableofFigures"/>
        <w:tabs>
          <w:tab w:val="right" w:leader="dot" w:pos="9350"/>
        </w:tabs>
        <w:rPr>
          <w:rFonts w:asciiTheme="minorHAnsi" w:eastAsiaTheme="minorEastAsia" w:hAnsiTheme="minorHAnsi" w:cstheme="minorBidi"/>
          <w:noProof/>
          <w:sz w:val="22"/>
          <w:szCs w:val="22"/>
          <w:lang w:eastAsia="zh-TW"/>
        </w:rPr>
      </w:pPr>
      <w:hyperlink w:anchor="_Toc384913196" w:history="1">
        <w:r w:rsidR="003322A7" w:rsidRPr="0054282C">
          <w:rPr>
            <w:rStyle w:val="Hyperlink"/>
            <w:noProof/>
          </w:rPr>
          <w:t>Table 4: In Service Rate</w:t>
        </w:r>
        <w:r w:rsidR="003322A7">
          <w:rPr>
            <w:noProof/>
            <w:webHidden/>
          </w:rPr>
          <w:tab/>
        </w:r>
        <w:r w:rsidR="003322A7">
          <w:rPr>
            <w:noProof/>
            <w:webHidden/>
          </w:rPr>
          <w:fldChar w:fldCharType="begin"/>
        </w:r>
        <w:r w:rsidR="003322A7">
          <w:rPr>
            <w:noProof/>
            <w:webHidden/>
          </w:rPr>
          <w:instrText xml:space="preserve"> PAGEREF _Toc384913196 \h </w:instrText>
        </w:r>
        <w:r w:rsidR="003322A7">
          <w:rPr>
            <w:noProof/>
            <w:webHidden/>
          </w:rPr>
        </w:r>
        <w:r w:rsidR="003322A7">
          <w:rPr>
            <w:noProof/>
            <w:webHidden/>
          </w:rPr>
          <w:fldChar w:fldCharType="separate"/>
        </w:r>
        <w:r w:rsidR="00C36E4C">
          <w:rPr>
            <w:noProof/>
            <w:webHidden/>
          </w:rPr>
          <w:t>4</w:t>
        </w:r>
        <w:r w:rsidR="003322A7">
          <w:rPr>
            <w:noProof/>
            <w:webHidden/>
          </w:rPr>
          <w:fldChar w:fldCharType="end"/>
        </w:r>
      </w:hyperlink>
    </w:p>
    <w:p w:rsidR="003322A7" w:rsidRDefault="002D1AC6">
      <w:pPr>
        <w:pStyle w:val="TableofFigures"/>
        <w:tabs>
          <w:tab w:val="right" w:leader="dot" w:pos="9350"/>
        </w:tabs>
        <w:rPr>
          <w:rFonts w:asciiTheme="minorHAnsi" w:eastAsiaTheme="minorEastAsia" w:hAnsiTheme="minorHAnsi" w:cstheme="minorBidi"/>
          <w:noProof/>
          <w:sz w:val="22"/>
          <w:szCs w:val="22"/>
          <w:lang w:eastAsia="zh-TW"/>
        </w:rPr>
      </w:pPr>
      <w:hyperlink w:anchor="_Toc384913197" w:history="1">
        <w:r w:rsidR="003322A7" w:rsidRPr="0054282C">
          <w:rPr>
            <w:rStyle w:val="Hyperlink"/>
            <w:noProof/>
          </w:rPr>
          <w:t>Table 5: DEER Net-to-Gross Ratios</w:t>
        </w:r>
        <w:r w:rsidR="003322A7">
          <w:rPr>
            <w:noProof/>
            <w:webHidden/>
          </w:rPr>
          <w:tab/>
        </w:r>
        <w:r w:rsidR="003322A7">
          <w:rPr>
            <w:noProof/>
            <w:webHidden/>
          </w:rPr>
          <w:fldChar w:fldCharType="begin"/>
        </w:r>
        <w:r w:rsidR="003322A7">
          <w:rPr>
            <w:noProof/>
            <w:webHidden/>
          </w:rPr>
          <w:instrText xml:space="preserve"> PAGEREF _Toc384913197 \h </w:instrText>
        </w:r>
        <w:r w:rsidR="003322A7">
          <w:rPr>
            <w:noProof/>
            <w:webHidden/>
          </w:rPr>
        </w:r>
        <w:r w:rsidR="003322A7">
          <w:rPr>
            <w:noProof/>
            <w:webHidden/>
          </w:rPr>
          <w:fldChar w:fldCharType="separate"/>
        </w:r>
        <w:r w:rsidR="00C36E4C">
          <w:rPr>
            <w:noProof/>
            <w:webHidden/>
          </w:rPr>
          <w:t>5</w:t>
        </w:r>
        <w:r w:rsidR="003322A7">
          <w:rPr>
            <w:noProof/>
            <w:webHidden/>
          </w:rPr>
          <w:fldChar w:fldCharType="end"/>
        </w:r>
      </w:hyperlink>
    </w:p>
    <w:p w:rsidR="003322A7" w:rsidRDefault="002D1AC6">
      <w:pPr>
        <w:pStyle w:val="TableofFigures"/>
        <w:tabs>
          <w:tab w:val="right" w:leader="dot" w:pos="9350"/>
        </w:tabs>
        <w:rPr>
          <w:rFonts w:asciiTheme="minorHAnsi" w:eastAsiaTheme="minorEastAsia" w:hAnsiTheme="minorHAnsi" w:cstheme="minorBidi"/>
          <w:noProof/>
          <w:sz w:val="22"/>
          <w:szCs w:val="22"/>
          <w:lang w:eastAsia="zh-TW"/>
        </w:rPr>
      </w:pPr>
      <w:hyperlink w:anchor="_Toc384913198" w:history="1">
        <w:r w:rsidR="003322A7" w:rsidRPr="0054282C">
          <w:rPr>
            <w:rStyle w:val="Hyperlink"/>
            <w:noProof/>
          </w:rPr>
          <w:t>Table 6: Base case and Measure case cost analysis, per kBtuh</w:t>
        </w:r>
        <w:r w:rsidR="003322A7">
          <w:rPr>
            <w:noProof/>
            <w:webHidden/>
          </w:rPr>
          <w:tab/>
        </w:r>
        <w:r w:rsidR="003322A7">
          <w:rPr>
            <w:noProof/>
            <w:webHidden/>
          </w:rPr>
          <w:fldChar w:fldCharType="begin"/>
        </w:r>
        <w:r w:rsidR="003322A7">
          <w:rPr>
            <w:noProof/>
            <w:webHidden/>
          </w:rPr>
          <w:instrText xml:space="preserve"> PAGEREF _Toc384913198 \h </w:instrText>
        </w:r>
        <w:r w:rsidR="003322A7">
          <w:rPr>
            <w:noProof/>
            <w:webHidden/>
          </w:rPr>
        </w:r>
        <w:r w:rsidR="003322A7">
          <w:rPr>
            <w:noProof/>
            <w:webHidden/>
          </w:rPr>
          <w:fldChar w:fldCharType="separate"/>
        </w:r>
        <w:r w:rsidR="00C36E4C">
          <w:rPr>
            <w:noProof/>
            <w:webHidden/>
          </w:rPr>
          <w:t>6</w:t>
        </w:r>
        <w:r w:rsidR="003322A7">
          <w:rPr>
            <w:noProof/>
            <w:webHidden/>
          </w:rPr>
          <w:fldChar w:fldCharType="end"/>
        </w:r>
      </w:hyperlink>
    </w:p>
    <w:p w:rsidR="003322A7" w:rsidRDefault="002D1AC6">
      <w:pPr>
        <w:pStyle w:val="TableofFigures"/>
        <w:tabs>
          <w:tab w:val="right" w:leader="dot" w:pos="9350"/>
        </w:tabs>
        <w:rPr>
          <w:rFonts w:asciiTheme="minorHAnsi" w:eastAsiaTheme="minorEastAsia" w:hAnsiTheme="minorHAnsi" w:cstheme="minorBidi"/>
          <w:noProof/>
          <w:sz w:val="22"/>
          <w:szCs w:val="22"/>
          <w:lang w:eastAsia="zh-TW"/>
        </w:rPr>
      </w:pPr>
      <w:hyperlink w:anchor="_Toc384913199" w:history="1">
        <w:r w:rsidR="003322A7" w:rsidRPr="0054282C">
          <w:rPr>
            <w:rStyle w:val="Hyperlink"/>
            <w:noProof/>
          </w:rPr>
          <w:t>Table 7: Base Case Costs (per furnace)</w:t>
        </w:r>
        <w:r w:rsidR="003322A7">
          <w:rPr>
            <w:noProof/>
            <w:webHidden/>
          </w:rPr>
          <w:tab/>
        </w:r>
        <w:r w:rsidR="003322A7">
          <w:rPr>
            <w:noProof/>
            <w:webHidden/>
          </w:rPr>
          <w:fldChar w:fldCharType="begin"/>
        </w:r>
        <w:r w:rsidR="003322A7">
          <w:rPr>
            <w:noProof/>
            <w:webHidden/>
          </w:rPr>
          <w:instrText xml:space="preserve"> PAGEREF _Toc384913199 \h </w:instrText>
        </w:r>
        <w:r w:rsidR="003322A7">
          <w:rPr>
            <w:noProof/>
            <w:webHidden/>
          </w:rPr>
        </w:r>
        <w:r w:rsidR="003322A7">
          <w:rPr>
            <w:noProof/>
            <w:webHidden/>
          </w:rPr>
          <w:fldChar w:fldCharType="separate"/>
        </w:r>
        <w:r w:rsidR="00C36E4C">
          <w:rPr>
            <w:noProof/>
            <w:webHidden/>
          </w:rPr>
          <w:t>7</w:t>
        </w:r>
        <w:r w:rsidR="003322A7">
          <w:rPr>
            <w:noProof/>
            <w:webHidden/>
          </w:rPr>
          <w:fldChar w:fldCharType="end"/>
        </w:r>
      </w:hyperlink>
    </w:p>
    <w:p w:rsidR="003322A7" w:rsidRDefault="002D1AC6">
      <w:pPr>
        <w:pStyle w:val="TableofFigures"/>
        <w:tabs>
          <w:tab w:val="right" w:leader="dot" w:pos="9350"/>
        </w:tabs>
        <w:rPr>
          <w:rFonts w:asciiTheme="minorHAnsi" w:eastAsiaTheme="minorEastAsia" w:hAnsiTheme="minorHAnsi" w:cstheme="minorBidi"/>
          <w:noProof/>
          <w:sz w:val="22"/>
          <w:szCs w:val="22"/>
          <w:lang w:eastAsia="zh-TW"/>
        </w:rPr>
      </w:pPr>
      <w:hyperlink w:anchor="_Toc384913200" w:history="1">
        <w:r w:rsidR="003322A7" w:rsidRPr="0054282C">
          <w:rPr>
            <w:rStyle w:val="Hyperlink"/>
            <w:noProof/>
          </w:rPr>
          <w:t>Table 8: Measure Case Costs for ≥ 92% &amp; &lt; 95% AFUE (per furnace)</w:t>
        </w:r>
        <w:r w:rsidR="003322A7">
          <w:rPr>
            <w:noProof/>
            <w:webHidden/>
          </w:rPr>
          <w:tab/>
        </w:r>
        <w:r w:rsidR="003322A7">
          <w:rPr>
            <w:noProof/>
            <w:webHidden/>
          </w:rPr>
          <w:fldChar w:fldCharType="begin"/>
        </w:r>
        <w:r w:rsidR="003322A7">
          <w:rPr>
            <w:noProof/>
            <w:webHidden/>
          </w:rPr>
          <w:instrText xml:space="preserve"> PAGEREF _Toc384913200 \h </w:instrText>
        </w:r>
        <w:r w:rsidR="003322A7">
          <w:rPr>
            <w:noProof/>
            <w:webHidden/>
          </w:rPr>
        </w:r>
        <w:r w:rsidR="003322A7">
          <w:rPr>
            <w:noProof/>
            <w:webHidden/>
          </w:rPr>
          <w:fldChar w:fldCharType="separate"/>
        </w:r>
        <w:r w:rsidR="00C36E4C">
          <w:rPr>
            <w:noProof/>
            <w:webHidden/>
          </w:rPr>
          <w:t>8</w:t>
        </w:r>
        <w:r w:rsidR="003322A7">
          <w:rPr>
            <w:noProof/>
            <w:webHidden/>
          </w:rPr>
          <w:fldChar w:fldCharType="end"/>
        </w:r>
      </w:hyperlink>
    </w:p>
    <w:p w:rsidR="003322A7" w:rsidRDefault="002D1AC6">
      <w:pPr>
        <w:pStyle w:val="TableofFigures"/>
        <w:tabs>
          <w:tab w:val="right" w:leader="dot" w:pos="9350"/>
        </w:tabs>
        <w:rPr>
          <w:rFonts w:asciiTheme="minorHAnsi" w:eastAsiaTheme="minorEastAsia" w:hAnsiTheme="minorHAnsi" w:cstheme="minorBidi"/>
          <w:noProof/>
          <w:sz w:val="22"/>
          <w:szCs w:val="22"/>
          <w:lang w:eastAsia="zh-TW"/>
        </w:rPr>
      </w:pPr>
      <w:hyperlink w:anchor="_Toc384913201" w:history="1">
        <w:r w:rsidR="003322A7" w:rsidRPr="0054282C">
          <w:rPr>
            <w:rStyle w:val="Hyperlink"/>
            <w:noProof/>
          </w:rPr>
          <w:t>Table 9: Measure Case Costs for ≥ 95% &amp; &lt; 96% AFUE (per furnace)</w:t>
        </w:r>
        <w:r w:rsidR="003322A7">
          <w:rPr>
            <w:noProof/>
            <w:webHidden/>
          </w:rPr>
          <w:tab/>
        </w:r>
        <w:r w:rsidR="003322A7">
          <w:rPr>
            <w:noProof/>
            <w:webHidden/>
          </w:rPr>
          <w:fldChar w:fldCharType="begin"/>
        </w:r>
        <w:r w:rsidR="003322A7">
          <w:rPr>
            <w:noProof/>
            <w:webHidden/>
          </w:rPr>
          <w:instrText xml:space="preserve"> PAGEREF _Toc384913201 \h </w:instrText>
        </w:r>
        <w:r w:rsidR="003322A7">
          <w:rPr>
            <w:noProof/>
            <w:webHidden/>
          </w:rPr>
        </w:r>
        <w:r w:rsidR="003322A7">
          <w:rPr>
            <w:noProof/>
            <w:webHidden/>
          </w:rPr>
          <w:fldChar w:fldCharType="separate"/>
        </w:r>
        <w:r w:rsidR="00C36E4C">
          <w:rPr>
            <w:noProof/>
            <w:webHidden/>
          </w:rPr>
          <w:t>8</w:t>
        </w:r>
        <w:r w:rsidR="003322A7">
          <w:rPr>
            <w:noProof/>
            <w:webHidden/>
          </w:rPr>
          <w:fldChar w:fldCharType="end"/>
        </w:r>
      </w:hyperlink>
    </w:p>
    <w:p w:rsidR="003322A7" w:rsidRDefault="002D1AC6">
      <w:pPr>
        <w:pStyle w:val="TableofFigures"/>
        <w:tabs>
          <w:tab w:val="right" w:leader="dot" w:pos="9350"/>
        </w:tabs>
        <w:rPr>
          <w:rFonts w:asciiTheme="minorHAnsi" w:eastAsiaTheme="minorEastAsia" w:hAnsiTheme="minorHAnsi" w:cstheme="minorBidi"/>
          <w:noProof/>
          <w:sz w:val="22"/>
          <w:szCs w:val="22"/>
          <w:lang w:eastAsia="zh-TW"/>
        </w:rPr>
      </w:pPr>
      <w:hyperlink w:anchor="_Toc384913202" w:history="1">
        <w:r w:rsidR="003322A7" w:rsidRPr="0054282C">
          <w:rPr>
            <w:rStyle w:val="Hyperlink"/>
            <w:noProof/>
          </w:rPr>
          <w:t xml:space="preserve">Table 10: Measure Case Costs for </w:t>
        </w:r>
        <w:r w:rsidR="003322A7" w:rsidRPr="0054282C">
          <w:rPr>
            <w:rStyle w:val="Hyperlink"/>
            <w:rFonts w:cs="Arial"/>
            <w:noProof/>
          </w:rPr>
          <w:t>≥ 96% &amp; &lt; 97% AFUE (per furnace)</w:t>
        </w:r>
        <w:r w:rsidR="003322A7">
          <w:rPr>
            <w:noProof/>
            <w:webHidden/>
          </w:rPr>
          <w:tab/>
        </w:r>
        <w:r w:rsidR="003322A7">
          <w:rPr>
            <w:noProof/>
            <w:webHidden/>
          </w:rPr>
          <w:fldChar w:fldCharType="begin"/>
        </w:r>
        <w:r w:rsidR="003322A7">
          <w:rPr>
            <w:noProof/>
            <w:webHidden/>
          </w:rPr>
          <w:instrText xml:space="preserve"> PAGEREF _Toc384913202 \h </w:instrText>
        </w:r>
        <w:r w:rsidR="003322A7">
          <w:rPr>
            <w:noProof/>
            <w:webHidden/>
          </w:rPr>
        </w:r>
        <w:r w:rsidR="003322A7">
          <w:rPr>
            <w:noProof/>
            <w:webHidden/>
          </w:rPr>
          <w:fldChar w:fldCharType="separate"/>
        </w:r>
        <w:r w:rsidR="00C36E4C">
          <w:rPr>
            <w:noProof/>
            <w:webHidden/>
          </w:rPr>
          <w:t>8</w:t>
        </w:r>
        <w:r w:rsidR="003322A7">
          <w:rPr>
            <w:noProof/>
            <w:webHidden/>
          </w:rPr>
          <w:fldChar w:fldCharType="end"/>
        </w:r>
      </w:hyperlink>
    </w:p>
    <w:p w:rsidR="003322A7" w:rsidRDefault="002D1AC6">
      <w:pPr>
        <w:pStyle w:val="TableofFigures"/>
        <w:tabs>
          <w:tab w:val="right" w:leader="dot" w:pos="9350"/>
        </w:tabs>
        <w:rPr>
          <w:rFonts w:asciiTheme="minorHAnsi" w:eastAsiaTheme="minorEastAsia" w:hAnsiTheme="minorHAnsi" w:cstheme="minorBidi"/>
          <w:noProof/>
          <w:sz w:val="22"/>
          <w:szCs w:val="22"/>
          <w:lang w:eastAsia="zh-TW"/>
        </w:rPr>
      </w:pPr>
      <w:hyperlink w:anchor="_Toc384913203" w:history="1">
        <w:r w:rsidR="003322A7" w:rsidRPr="0054282C">
          <w:rPr>
            <w:rStyle w:val="Hyperlink"/>
            <w:noProof/>
          </w:rPr>
          <w:t>Table 11: Measure Case Costs for ≥ 97% AFUE (per furnace)</w:t>
        </w:r>
        <w:r w:rsidR="003322A7">
          <w:rPr>
            <w:noProof/>
            <w:webHidden/>
          </w:rPr>
          <w:tab/>
        </w:r>
        <w:r w:rsidR="003322A7">
          <w:rPr>
            <w:noProof/>
            <w:webHidden/>
          </w:rPr>
          <w:fldChar w:fldCharType="begin"/>
        </w:r>
        <w:r w:rsidR="003322A7">
          <w:rPr>
            <w:noProof/>
            <w:webHidden/>
          </w:rPr>
          <w:instrText xml:space="preserve"> PAGEREF _Toc384913203 \h </w:instrText>
        </w:r>
        <w:r w:rsidR="003322A7">
          <w:rPr>
            <w:noProof/>
            <w:webHidden/>
          </w:rPr>
        </w:r>
        <w:r w:rsidR="003322A7">
          <w:rPr>
            <w:noProof/>
            <w:webHidden/>
          </w:rPr>
          <w:fldChar w:fldCharType="separate"/>
        </w:r>
        <w:r w:rsidR="00C36E4C">
          <w:rPr>
            <w:noProof/>
            <w:webHidden/>
          </w:rPr>
          <w:t>9</w:t>
        </w:r>
        <w:r w:rsidR="003322A7">
          <w:rPr>
            <w:noProof/>
            <w:webHidden/>
          </w:rPr>
          <w:fldChar w:fldCharType="end"/>
        </w:r>
      </w:hyperlink>
    </w:p>
    <w:p w:rsidR="003322A7" w:rsidRDefault="002D1AC6">
      <w:pPr>
        <w:pStyle w:val="TableofFigures"/>
        <w:tabs>
          <w:tab w:val="right" w:leader="dot" w:pos="9350"/>
        </w:tabs>
        <w:rPr>
          <w:rFonts w:asciiTheme="minorHAnsi" w:eastAsiaTheme="minorEastAsia" w:hAnsiTheme="minorHAnsi" w:cstheme="minorBidi"/>
          <w:noProof/>
          <w:sz w:val="22"/>
          <w:szCs w:val="22"/>
          <w:lang w:eastAsia="zh-TW"/>
        </w:rPr>
      </w:pPr>
      <w:hyperlink w:anchor="_Toc384913204" w:history="1">
        <w:r w:rsidR="003322A7" w:rsidRPr="0054282C">
          <w:rPr>
            <w:rStyle w:val="Hyperlink"/>
            <w:noProof/>
          </w:rPr>
          <w:t>Table 12: Summary of ICM Costs (per furnace)</w:t>
        </w:r>
        <w:r w:rsidR="003322A7">
          <w:rPr>
            <w:noProof/>
            <w:webHidden/>
          </w:rPr>
          <w:tab/>
        </w:r>
        <w:r w:rsidR="003322A7">
          <w:rPr>
            <w:noProof/>
            <w:webHidden/>
          </w:rPr>
          <w:fldChar w:fldCharType="begin"/>
        </w:r>
        <w:r w:rsidR="003322A7">
          <w:rPr>
            <w:noProof/>
            <w:webHidden/>
          </w:rPr>
          <w:instrText xml:space="preserve"> PAGEREF _Toc384913204 \h </w:instrText>
        </w:r>
        <w:r w:rsidR="003322A7">
          <w:rPr>
            <w:noProof/>
            <w:webHidden/>
          </w:rPr>
        </w:r>
        <w:r w:rsidR="003322A7">
          <w:rPr>
            <w:noProof/>
            <w:webHidden/>
          </w:rPr>
          <w:fldChar w:fldCharType="separate"/>
        </w:r>
        <w:r w:rsidR="00C36E4C">
          <w:rPr>
            <w:noProof/>
            <w:webHidden/>
          </w:rPr>
          <w:t>9</w:t>
        </w:r>
        <w:r w:rsidR="003322A7">
          <w:rPr>
            <w:noProof/>
            <w:webHidden/>
          </w:rPr>
          <w:fldChar w:fldCharType="end"/>
        </w:r>
      </w:hyperlink>
    </w:p>
    <w:p w:rsidR="002F29DD" w:rsidRDefault="006F409E" w:rsidP="002F29DD">
      <w:pPr>
        <w:sectPr w:rsidR="002F29DD" w:rsidSect="00A826F3">
          <w:footerReference w:type="even" r:id="rId14"/>
          <w:footerReference w:type="default" r:id="rId15"/>
          <w:endnotePr>
            <w:numFmt w:val="decimal"/>
          </w:endnotePr>
          <w:pgSz w:w="12240" w:h="15840" w:code="1"/>
          <w:pgMar w:top="1440" w:right="1440" w:bottom="1440" w:left="1440" w:header="720" w:footer="720" w:gutter="0"/>
          <w:pgNumType w:fmt="lowerRoman"/>
          <w:cols w:space="720"/>
          <w:docGrid w:linePitch="360"/>
        </w:sectPr>
      </w:pPr>
      <w:r>
        <w:fldChar w:fldCharType="end"/>
      </w:r>
    </w:p>
    <w:p w:rsidR="001C644E" w:rsidRPr="00496240" w:rsidRDefault="001C644E" w:rsidP="001C644E">
      <w:pPr>
        <w:pStyle w:val="WPSCT"/>
      </w:pPr>
      <w:bookmarkStart w:id="8" w:name="_Toc357762654"/>
      <w:r w:rsidRPr="00496240">
        <w:lastRenderedPageBreak/>
        <w:t>General Measure &amp; Baseline Data</w:t>
      </w:r>
      <w:bookmarkEnd w:id="8"/>
    </w:p>
    <w:p w:rsidR="001C644E" w:rsidRDefault="001C644E" w:rsidP="001C644E">
      <w:pPr>
        <w:pStyle w:val="WPART"/>
      </w:pPr>
      <w:bookmarkStart w:id="9" w:name="_Toc214003083"/>
      <w:bookmarkStart w:id="10" w:name="_Toc357762655"/>
      <w:r w:rsidRPr="001248A3">
        <w:t xml:space="preserve">Measure </w:t>
      </w:r>
      <w:r>
        <w:t xml:space="preserve">&amp; Delivery </w:t>
      </w:r>
      <w:r w:rsidRPr="001248A3">
        <w:t>Description</w:t>
      </w:r>
      <w:bookmarkEnd w:id="9"/>
      <w:bookmarkEnd w:id="10"/>
    </w:p>
    <w:p w:rsidR="00CD7ABE" w:rsidRDefault="00323DEA" w:rsidP="00CD7ABE">
      <w:pPr>
        <w:pStyle w:val="WPPR1"/>
      </w:pPr>
      <w:r>
        <w:t>Measure Description</w:t>
      </w:r>
    </w:p>
    <w:p w:rsidR="00CD7ABE" w:rsidRDefault="00CD7ABE" w:rsidP="00323DEA">
      <w:pPr>
        <w:pStyle w:val="PR2"/>
      </w:pPr>
      <w:r>
        <w:t>Natur</w:t>
      </w:r>
      <w:r w:rsidR="0009734D">
        <w:t>al gas burning furnaces provide</w:t>
      </w:r>
      <w:r>
        <w:t xml:space="preserve"> heat to </w:t>
      </w:r>
      <w:r w:rsidR="0009734D">
        <w:t>a</w:t>
      </w:r>
      <w:r>
        <w:t xml:space="preserve"> conditioned space by passing combustion products past a heat exchanger. The forced air heating system uses natural gas, mixing it with air inside a burner where it ignites inside the combustion chamber. A blower fan pulls cool air in and from the rooms through the return air ducts into the furnace heat exchanger. The cool air is then heated by passing over the heat exchanger connected to the combustion chamber. Warm air then flows back into the rooms through the ductwork. The exhaust gases from the burner are vented outside through the flue passage connected to the heat exchanger. Furnaces usually have high utilization hours through the year. A gain in efficiency can therefore result in significant energy savings. </w:t>
      </w:r>
    </w:p>
    <w:p w:rsidR="0009734D" w:rsidRDefault="0009734D" w:rsidP="0009734D">
      <w:pPr>
        <w:pStyle w:val="PR1"/>
      </w:pPr>
      <w:r>
        <w:t>Qualifying Efficiency</w:t>
      </w:r>
    </w:p>
    <w:p w:rsidR="00715CA4" w:rsidRDefault="00715CA4" w:rsidP="00BC2743">
      <w:pPr>
        <w:pStyle w:val="PR2"/>
      </w:pPr>
      <w:r>
        <w:t>A</w:t>
      </w:r>
      <w:r w:rsidRPr="0077159C">
        <w:t xml:space="preserve"> central gas </w:t>
      </w:r>
      <w:r>
        <w:t xml:space="preserve">furnace with an AFUE equal to or greater than 92% and less than 95% </w:t>
      </w:r>
      <w:r w:rsidRPr="0077159C">
        <w:t xml:space="preserve">for residential single family, multifamily and mobile homes is part of </w:t>
      </w:r>
      <w:r>
        <w:t>Southern California Gas Company’s (SCG)</w:t>
      </w:r>
      <w:r w:rsidRPr="0077159C">
        <w:t xml:space="preserve"> deemed rebate program</w:t>
      </w:r>
      <w:r w:rsidR="007E0AD6">
        <w:t xml:space="preserve"> delivered under the downstream, midstream, and upstream </w:t>
      </w:r>
      <w:r w:rsidRPr="0077159C">
        <w:t>catalog rebate program</w:t>
      </w:r>
      <w:r w:rsidR="007E0AD6">
        <w:t>s</w:t>
      </w:r>
      <w:r w:rsidRPr="0077159C">
        <w:t>.</w:t>
      </w:r>
    </w:p>
    <w:p w:rsidR="007E0AD6" w:rsidRDefault="0009734D" w:rsidP="0092503E">
      <w:pPr>
        <w:pStyle w:val="PR2"/>
      </w:pPr>
      <w:r>
        <w:t>A</w:t>
      </w:r>
      <w:r w:rsidR="00763A37" w:rsidRPr="0077159C">
        <w:t xml:space="preserve"> </w:t>
      </w:r>
      <w:r w:rsidR="00BC2743" w:rsidRPr="0077159C">
        <w:t xml:space="preserve">central gas </w:t>
      </w:r>
      <w:r w:rsidR="005A7272">
        <w:t>furnace with an AFUE equal to or greater th</w:t>
      </w:r>
      <w:r w:rsidR="00715CA4">
        <w:t>an 95% and less than 9</w:t>
      </w:r>
      <w:r w:rsidR="0092503E">
        <w:t>6</w:t>
      </w:r>
      <w:r w:rsidR="00715CA4">
        <w:t xml:space="preserve">% </w:t>
      </w:r>
      <w:r w:rsidR="00BC2743" w:rsidRPr="0077159C">
        <w:t xml:space="preserve">for residential single family, multifamily and mobile homes is part of </w:t>
      </w:r>
      <w:r w:rsidR="00BC2743">
        <w:t>Southern California Gas Company’s (SCG)</w:t>
      </w:r>
      <w:r w:rsidR="00BC2743" w:rsidRPr="0077159C">
        <w:t xml:space="preserve"> deemed rebate program delivered under the </w:t>
      </w:r>
      <w:r w:rsidR="007E0AD6">
        <w:t xml:space="preserve">downstream, midstream, and upstream </w:t>
      </w:r>
      <w:r w:rsidR="007E0AD6" w:rsidRPr="0077159C">
        <w:t>catalog rebate program</w:t>
      </w:r>
      <w:r w:rsidR="007E0AD6">
        <w:t>s</w:t>
      </w:r>
      <w:r w:rsidR="007E0AD6" w:rsidRPr="0077159C">
        <w:t>.</w:t>
      </w:r>
    </w:p>
    <w:p w:rsidR="007E0AD6" w:rsidRDefault="0092503E" w:rsidP="00BC2743">
      <w:pPr>
        <w:pStyle w:val="PR2"/>
      </w:pPr>
      <w:r>
        <w:t>A</w:t>
      </w:r>
      <w:r w:rsidRPr="0077159C">
        <w:t xml:space="preserve"> central gas </w:t>
      </w:r>
      <w:r>
        <w:t xml:space="preserve">furnace with an AFUE equal to or greater than 96% and less than 97% </w:t>
      </w:r>
      <w:r w:rsidRPr="0077159C">
        <w:t xml:space="preserve">for residential single family, multifamily and mobile homes is part of </w:t>
      </w:r>
      <w:r>
        <w:t>Southern California Gas Company’s (SCG)</w:t>
      </w:r>
      <w:r w:rsidRPr="0077159C">
        <w:t xml:space="preserve"> deemed rebate program delivered under the </w:t>
      </w:r>
      <w:r w:rsidR="007E0AD6">
        <w:t xml:space="preserve">downstream, midstream, and upstream </w:t>
      </w:r>
      <w:r w:rsidR="007E0AD6" w:rsidRPr="0077159C">
        <w:t>catalog rebate program</w:t>
      </w:r>
      <w:r w:rsidR="007E0AD6">
        <w:t>s</w:t>
      </w:r>
      <w:r w:rsidR="007E0AD6" w:rsidRPr="0077159C">
        <w:t>.</w:t>
      </w:r>
    </w:p>
    <w:p w:rsidR="00CD7ABE" w:rsidRDefault="00BC2743" w:rsidP="00BC2743">
      <w:pPr>
        <w:pStyle w:val="PR2"/>
      </w:pPr>
      <w:r>
        <w:t>A</w:t>
      </w:r>
      <w:r w:rsidRPr="0077159C">
        <w:t xml:space="preserve"> </w:t>
      </w:r>
      <w:r w:rsidR="00763A37" w:rsidRPr="0077159C">
        <w:t xml:space="preserve">central gas furnace </w:t>
      </w:r>
      <w:r w:rsidR="005A7272">
        <w:t>with an AFUE equa</w:t>
      </w:r>
      <w:r w:rsidR="00715CA4">
        <w:t xml:space="preserve">l to or greater than 97% </w:t>
      </w:r>
      <w:r w:rsidR="00763A37" w:rsidRPr="0077159C">
        <w:t xml:space="preserve">for residential single family, multifamily and mobile homes is part of </w:t>
      </w:r>
      <w:r w:rsidR="00056DD3">
        <w:t>Southern California Gas Company’s (</w:t>
      </w:r>
      <w:r w:rsidR="00763A37">
        <w:t>SCG</w:t>
      </w:r>
      <w:r w:rsidR="00056DD3">
        <w:t>)</w:t>
      </w:r>
      <w:r w:rsidR="00763A37" w:rsidRPr="0077159C">
        <w:t xml:space="preserve"> deemed rebate program delivered under </w:t>
      </w:r>
      <w:r w:rsidR="007E0AD6">
        <w:t xml:space="preserve">downstream, midstream, and upstream </w:t>
      </w:r>
      <w:r w:rsidR="007E0AD6" w:rsidRPr="0077159C">
        <w:t>catalog rebate program</w:t>
      </w:r>
      <w:r w:rsidR="007E0AD6">
        <w:t>s</w:t>
      </w:r>
      <w:r w:rsidR="007E0AD6" w:rsidRPr="0077159C">
        <w:t>.</w:t>
      </w:r>
    </w:p>
    <w:p w:rsidR="0095583C" w:rsidRDefault="00CD7ABE" w:rsidP="0095583C">
      <w:pPr>
        <w:pStyle w:val="PR1"/>
      </w:pPr>
      <w:r>
        <w:t>Program Restrictions and Guidelines</w:t>
      </w:r>
    </w:p>
    <w:p w:rsidR="00763A37" w:rsidRDefault="00763A37" w:rsidP="00CD7ABE">
      <w:pPr>
        <w:pStyle w:val="PR2"/>
      </w:pPr>
      <w:r w:rsidRPr="00CD7ABE">
        <w:t xml:space="preserve">This measure is applied to a residential single family, multifamily </w:t>
      </w:r>
      <w:r w:rsidR="00CD7ABE">
        <w:t>and mobile homes located in SCG</w:t>
      </w:r>
      <w:r w:rsidR="0092503E">
        <w:t xml:space="preserve">’s service territory. </w:t>
      </w:r>
      <w:r w:rsidRPr="00CD7ABE">
        <w:t>To qualify the applicant must have natural gas distributed to the installation address for the gas furnace rebate. The central natural gas furnace must have an Annual Fuel Utilization Efficiency (AFUE) rating of ≥ 9</w:t>
      </w:r>
      <w:r w:rsidR="00715CA4">
        <w:t>2</w:t>
      </w:r>
      <w:r w:rsidRPr="00CD7ABE">
        <w:t>% and &lt; 9</w:t>
      </w:r>
      <w:r w:rsidR="00715CA4">
        <w:t>5</w:t>
      </w:r>
      <w:r w:rsidRPr="00CD7ABE">
        <w:t>%</w:t>
      </w:r>
      <w:r w:rsidR="00715CA4">
        <w:t>,</w:t>
      </w:r>
      <w:r w:rsidR="0009734D">
        <w:t xml:space="preserve"> </w:t>
      </w:r>
      <w:r w:rsidR="00715CA4" w:rsidRPr="00CD7ABE">
        <w:t>≥ 95% and &lt; 9</w:t>
      </w:r>
      <w:r w:rsidR="0092503E">
        <w:t>6</w:t>
      </w:r>
      <w:r w:rsidR="00715CA4" w:rsidRPr="00CD7ABE">
        <w:t>%</w:t>
      </w:r>
      <w:r w:rsidR="0092503E">
        <w:t xml:space="preserve">, </w:t>
      </w:r>
      <w:r w:rsidR="0092503E" w:rsidRPr="00CD7ABE">
        <w:t>≥ 9</w:t>
      </w:r>
      <w:r w:rsidR="0092503E">
        <w:t>6</w:t>
      </w:r>
      <w:r w:rsidR="0092503E" w:rsidRPr="00CD7ABE">
        <w:t>% and &lt; 9</w:t>
      </w:r>
      <w:r w:rsidR="0092503E">
        <w:t>7</w:t>
      </w:r>
      <w:r w:rsidR="0092503E" w:rsidRPr="00CD7ABE">
        <w:t>%</w:t>
      </w:r>
      <w:r w:rsidR="0092503E">
        <w:t xml:space="preserve">, </w:t>
      </w:r>
      <w:r w:rsidR="0009734D">
        <w:t>and ≥ 97</w:t>
      </w:r>
      <w:r w:rsidR="0009734D" w:rsidRPr="00CD7ABE">
        <w:t>%</w:t>
      </w:r>
      <w:r w:rsidR="0009734D">
        <w:t xml:space="preserve"> for incentive</w:t>
      </w:r>
      <w:r w:rsidR="0092503E">
        <w:t>s</w:t>
      </w:r>
      <w:r w:rsidRPr="00CD7ABE">
        <w:t xml:space="preserve">.  </w:t>
      </w:r>
    </w:p>
    <w:p w:rsidR="006F4A06" w:rsidRDefault="006F4A06" w:rsidP="0010447C">
      <w:pPr>
        <w:pStyle w:val="PR1"/>
      </w:pPr>
      <w:r>
        <w:t>Measure Application Type</w:t>
      </w:r>
    </w:p>
    <w:p w:rsidR="00B560C7" w:rsidRDefault="00B560C7" w:rsidP="00B560C7">
      <w:pPr>
        <w:pStyle w:val="PR2"/>
      </w:pPr>
      <w:r>
        <w:t xml:space="preserve">The DEER Measure Cost Data Users Guide found on </w:t>
      </w:r>
      <w:hyperlink r:id="rId16" w:history="1">
        <w:r w:rsidRPr="009C7EF3">
          <w:rPr>
            <w:rStyle w:val="Hyperlink"/>
          </w:rPr>
          <w:t>www.deeresources.com</w:t>
        </w:r>
      </w:hyperlink>
      <w:r>
        <w:t xml:space="preserve"> under DEER2011 for 13-14 Database Format hyperlink. DEER2011 Database format, spreadsheet “SPTdata_format-V0.97.xls” [1] </w:t>
      </w:r>
      <w:r w:rsidR="00F95963">
        <w:t>defines the terms as follows:</w:t>
      </w:r>
    </w:p>
    <w:p w:rsidR="00F44075" w:rsidRDefault="00F44075" w:rsidP="00C12B13">
      <w:pPr>
        <w:pStyle w:val="PR2"/>
        <w:numPr>
          <w:ilvl w:val="0"/>
          <w:numId w:val="0"/>
        </w:numPr>
        <w:ind w:left="1152"/>
      </w:pPr>
    </w:p>
    <w:p w:rsidR="0092503E" w:rsidRDefault="0092503E" w:rsidP="00C12B13">
      <w:pPr>
        <w:pStyle w:val="PR2"/>
        <w:numPr>
          <w:ilvl w:val="0"/>
          <w:numId w:val="0"/>
        </w:numPr>
        <w:ind w:left="1152"/>
      </w:pPr>
    </w:p>
    <w:p w:rsidR="0092503E" w:rsidRDefault="0092503E" w:rsidP="00C12B13">
      <w:pPr>
        <w:pStyle w:val="PR2"/>
        <w:numPr>
          <w:ilvl w:val="0"/>
          <w:numId w:val="0"/>
        </w:numPr>
        <w:ind w:left="1152"/>
      </w:pPr>
    </w:p>
    <w:p w:rsidR="0092503E" w:rsidRDefault="0092503E" w:rsidP="00C12B13">
      <w:pPr>
        <w:pStyle w:val="PR2"/>
        <w:numPr>
          <w:ilvl w:val="0"/>
          <w:numId w:val="0"/>
        </w:numPr>
        <w:ind w:left="1152"/>
      </w:pPr>
    </w:p>
    <w:p w:rsidR="0092503E" w:rsidRDefault="0092503E" w:rsidP="00C12B13">
      <w:pPr>
        <w:pStyle w:val="PR2"/>
        <w:numPr>
          <w:ilvl w:val="0"/>
          <w:numId w:val="0"/>
        </w:numPr>
        <w:ind w:left="1152"/>
      </w:pPr>
    </w:p>
    <w:p w:rsidR="0092503E" w:rsidRDefault="0092503E" w:rsidP="00C12B13">
      <w:pPr>
        <w:pStyle w:val="PR2"/>
        <w:numPr>
          <w:ilvl w:val="0"/>
          <w:numId w:val="0"/>
        </w:numPr>
        <w:ind w:left="1152"/>
      </w:pPr>
    </w:p>
    <w:p w:rsidR="00F95963" w:rsidRDefault="00F44075" w:rsidP="001A3391">
      <w:pPr>
        <w:pStyle w:val="Caption"/>
      </w:pPr>
      <w:bookmarkStart w:id="11" w:name="_Toc384913193"/>
      <w:r>
        <w:lastRenderedPageBreak/>
        <w:t xml:space="preserve">Table </w:t>
      </w:r>
      <w:r w:rsidR="006F409E">
        <w:fldChar w:fldCharType="begin"/>
      </w:r>
      <w:r w:rsidR="00231A62">
        <w:instrText xml:space="preserve"> SEQ Table \* ARABIC </w:instrText>
      </w:r>
      <w:r w:rsidR="006F409E">
        <w:fldChar w:fldCharType="separate"/>
      </w:r>
      <w:r w:rsidR="003322A7">
        <w:rPr>
          <w:noProof/>
        </w:rPr>
        <w:t>1</w:t>
      </w:r>
      <w:r w:rsidR="006F409E">
        <w:rPr>
          <w:noProof/>
        </w:rPr>
        <w:fldChar w:fldCharType="end"/>
      </w:r>
      <w:r w:rsidRPr="00CD7ABE">
        <w:t>: Measure Application Type</w:t>
      </w:r>
      <w:bookmarkEnd w:id="11"/>
    </w:p>
    <w:tbl>
      <w:tblPr>
        <w:tblW w:w="9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0"/>
        <w:gridCol w:w="2610"/>
        <w:gridCol w:w="5580"/>
      </w:tblGrid>
      <w:tr w:rsidR="00F95963" w:rsidRPr="0077159C" w:rsidTr="00F95963">
        <w:trPr>
          <w:trHeight w:val="315"/>
          <w:jc w:val="center"/>
        </w:trPr>
        <w:tc>
          <w:tcPr>
            <w:tcW w:w="900" w:type="dxa"/>
            <w:shd w:val="clear" w:color="000000" w:fill="D9D9D9"/>
            <w:noWrap/>
            <w:vAlign w:val="bottom"/>
          </w:tcPr>
          <w:p w:rsidR="00F95963" w:rsidRPr="00CD7ABE" w:rsidRDefault="00F95963" w:rsidP="00F95963">
            <w:pPr>
              <w:pStyle w:val="NoSpacing"/>
            </w:pPr>
            <w:r w:rsidRPr="00CD7ABE">
              <w:t>Code</w:t>
            </w:r>
          </w:p>
        </w:tc>
        <w:tc>
          <w:tcPr>
            <w:tcW w:w="2610" w:type="dxa"/>
            <w:shd w:val="clear" w:color="000000" w:fill="D9D9D9"/>
            <w:noWrap/>
            <w:vAlign w:val="bottom"/>
          </w:tcPr>
          <w:p w:rsidR="00F95963" w:rsidRPr="00CD7ABE" w:rsidRDefault="00F95963" w:rsidP="00F95963">
            <w:pPr>
              <w:pStyle w:val="NoSpacing"/>
            </w:pPr>
            <w:r w:rsidRPr="00CD7ABE">
              <w:t>Description</w:t>
            </w:r>
          </w:p>
        </w:tc>
        <w:tc>
          <w:tcPr>
            <w:tcW w:w="5580" w:type="dxa"/>
            <w:shd w:val="clear" w:color="000000" w:fill="D9D9D9"/>
            <w:noWrap/>
            <w:vAlign w:val="bottom"/>
          </w:tcPr>
          <w:p w:rsidR="00F95963" w:rsidRPr="00CD7ABE" w:rsidRDefault="00F95963" w:rsidP="00F95963">
            <w:pPr>
              <w:pStyle w:val="NoSpacing"/>
            </w:pPr>
            <w:r w:rsidRPr="00CD7ABE">
              <w:t>Comment</w:t>
            </w:r>
          </w:p>
        </w:tc>
      </w:tr>
      <w:tr w:rsidR="00F95963" w:rsidRPr="0077159C" w:rsidTr="00F95963">
        <w:trPr>
          <w:trHeight w:val="600"/>
          <w:jc w:val="center"/>
        </w:trPr>
        <w:tc>
          <w:tcPr>
            <w:tcW w:w="900" w:type="dxa"/>
            <w:noWrap/>
            <w:vAlign w:val="center"/>
          </w:tcPr>
          <w:p w:rsidR="00F95963" w:rsidRPr="00CD7ABE" w:rsidRDefault="00F95963" w:rsidP="00F95963">
            <w:pPr>
              <w:pStyle w:val="NoSpacing"/>
            </w:pPr>
            <w:r w:rsidRPr="00CD7ABE">
              <w:t>ROB</w:t>
            </w:r>
          </w:p>
        </w:tc>
        <w:tc>
          <w:tcPr>
            <w:tcW w:w="2610" w:type="dxa"/>
            <w:noWrap/>
            <w:vAlign w:val="center"/>
          </w:tcPr>
          <w:p w:rsidR="00F95963" w:rsidRPr="00CD7ABE" w:rsidRDefault="00F95963" w:rsidP="00F95963">
            <w:pPr>
              <w:pStyle w:val="NoSpacing"/>
            </w:pPr>
            <w:r w:rsidRPr="00CD7ABE">
              <w:t>Replace on Burnout</w:t>
            </w:r>
          </w:p>
        </w:tc>
        <w:tc>
          <w:tcPr>
            <w:tcW w:w="5580" w:type="dxa"/>
            <w:vAlign w:val="center"/>
          </w:tcPr>
          <w:p w:rsidR="00F95963" w:rsidRPr="00CD7ABE" w:rsidRDefault="00F14B20" w:rsidP="00F95963">
            <w:pPr>
              <w:pStyle w:val="NoSpacing"/>
            </w:pPr>
            <w:r>
              <w:t>M</w:t>
            </w:r>
            <w:r w:rsidR="00F95963" w:rsidRPr="00CD7ABE">
              <w:t>easure applied when existing equipment fails or maintenance requires replacement</w:t>
            </w:r>
          </w:p>
        </w:tc>
      </w:tr>
      <w:tr w:rsidR="00F95963" w:rsidRPr="0077159C" w:rsidTr="00F95963">
        <w:trPr>
          <w:trHeight w:val="600"/>
          <w:jc w:val="center"/>
        </w:trPr>
        <w:tc>
          <w:tcPr>
            <w:tcW w:w="900" w:type="dxa"/>
            <w:noWrap/>
            <w:vAlign w:val="center"/>
          </w:tcPr>
          <w:p w:rsidR="00F95963" w:rsidRPr="00CD7ABE" w:rsidRDefault="00F95963" w:rsidP="00F95963">
            <w:pPr>
              <w:pStyle w:val="NoSpacing"/>
            </w:pPr>
            <w:r w:rsidRPr="00CD7ABE">
              <w:t>NC</w:t>
            </w:r>
          </w:p>
        </w:tc>
        <w:tc>
          <w:tcPr>
            <w:tcW w:w="2610" w:type="dxa"/>
            <w:noWrap/>
            <w:vAlign w:val="center"/>
          </w:tcPr>
          <w:p w:rsidR="00F95963" w:rsidRPr="00CD7ABE" w:rsidRDefault="00F95963" w:rsidP="00F95963">
            <w:pPr>
              <w:pStyle w:val="NoSpacing"/>
            </w:pPr>
            <w:r w:rsidRPr="00CD7ABE">
              <w:t>New Construction</w:t>
            </w:r>
          </w:p>
        </w:tc>
        <w:tc>
          <w:tcPr>
            <w:tcW w:w="5580" w:type="dxa"/>
            <w:vAlign w:val="center"/>
          </w:tcPr>
          <w:p w:rsidR="00F95963" w:rsidRPr="00CD7ABE" w:rsidRDefault="00F14B20" w:rsidP="00F95963">
            <w:pPr>
              <w:pStyle w:val="NoSpacing"/>
            </w:pPr>
            <w:r>
              <w:t>M</w:t>
            </w:r>
            <w:r w:rsidR="00F95963" w:rsidRPr="00CD7ABE">
              <w:t>easure applied during construction design phase as an alternative to a code-compliant standard design</w:t>
            </w:r>
          </w:p>
        </w:tc>
      </w:tr>
    </w:tbl>
    <w:p w:rsidR="00F95963" w:rsidRDefault="00F95963" w:rsidP="00F95963">
      <w:pPr>
        <w:pStyle w:val="PR2"/>
        <w:numPr>
          <w:ilvl w:val="0"/>
          <w:numId w:val="0"/>
        </w:numPr>
        <w:ind w:left="1152"/>
      </w:pPr>
    </w:p>
    <w:p w:rsidR="00735288" w:rsidRDefault="008F2CB4" w:rsidP="008F2CB4">
      <w:pPr>
        <w:pStyle w:val="PR2"/>
      </w:pPr>
      <w:r>
        <w:t xml:space="preserve">The application type for this measure is replace on burnout (ROB) and new construction (NC).   Both ROB and NC use the effective useful life (EUL) as the basis for measure life. The base case for both ROB and NC is a central natural gas furnace meeting </w:t>
      </w:r>
      <w:r w:rsidR="00296389">
        <w:t xml:space="preserve">the </w:t>
      </w:r>
      <w:r>
        <w:t xml:space="preserve">minimum </w:t>
      </w:r>
      <w:r w:rsidR="00C53B3F">
        <w:t>efficiency standard for the time of ins</w:t>
      </w:r>
      <w:r w:rsidR="00671D77">
        <w:t>tallation. Prior to May 1, 2013,</w:t>
      </w:r>
      <w:r w:rsidR="00A94B69">
        <w:t xml:space="preserve"> Title </w:t>
      </w:r>
      <w:r w:rsidR="00625528">
        <w:t xml:space="preserve">20 </w:t>
      </w:r>
      <w:r w:rsidR="00A94B69">
        <w:t xml:space="preserve">and 24 </w:t>
      </w:r>
      <w:r w:rsidR="00625528">
        <w:t>require</w:t>
      </w:r>
      <w:r w:rsidR="00671D77">
        <w:t>d</w:t>
      </w:r>
      <w:r w:rsidR="00625528">
        <w:t xml:space="preserve"> furnaces with a rated input of less than 225,000 Btu to have </w:t>
      </w:r>
      <w:r w:rsidR="00296389">
        <w:t xml:space="preserve">a minimum </w:t>
      </w:r>
      <w:r w:rsidR="00625528">
        <w:t xml:space="preserve">Annual Fuel Utilization Efficiency (AFUE) </w:t>
      </w:r>
      <w:r w:rsidR="00296389">
        <w:t>of 78%</w:t>
      </w:r>
      <w:r w:rsidR="00997924">
        <w:t>. F</w:t>
      </w:r>
      <w:r w:rsidR="00625528">
        <w:t xml:space="preserve">urnaces installed in mobile homes with a rated input of less than 225,000 Btu </w:t>
      </w:r>
      <w:r w:rsidR="00997924">
        <w:t>required</w:t>
      </w:r>
      <w:r w:rsidR="00625528">
        <w:t xml:space="preserve"> a minimum AFUE of 75% and furnaces with a rated input greater than or equal to 225,000 Btu </w:t>
      </w:r>
      <w:r w:rsidR="00671D77">
        <w:t>required</w:t>
      </w:r>
      <w:r w:rsidR="00625528">
        <w:t xml:space="preserve"> a minimum AFUE of 80%. </w:t>
      </w:r>
      <w:r w:rsidR="00C53B3F">
        <w:t xml:space="preserve">After May 1, 2013, the </w:t>
      </w:r>
      <w:r w:rsidR="008A0C5A">
        <w:t>US</w:t>
      </w:r>
      <w:r>
        <w:t xml:space="preserve"> </w:t>
      </w:r>
      <w:r w:rsidR="008A0C5A">
        <w:t>Department of Energy (</w:t>
      </w:r>
      <w:r w:rsidR="00625528">
        <w:t>DOE</w:t>
      </w:r>
      <w:r w:rsidR="008A0C5A">
        <w:t>)</w:t>
      </w:r>
      <w:r w:rsidR="00625528">
        <w:t xml:space="preserve"> Energy Regulations</w:t>
      </w:r>
      <w:r>
        <w:t xml:space="preserve"> </w:t>
      </w:r>
      <w:r w:rsidR="00625528">
        <w:t>supersede</w:t>
      </w:r>
      <w:r w:rsidR="00997924">
        <w:t>d</w:t>
      </w:r>
      <w:r w:rsidR="00EF261A">
        <w:t xml:space="preserve"> California’s</w:t>
      </w:r>
      <w:r w:rsidR="00C53B3F">
        <w:t xml:space="preserve"> Title</w:t>
      </w:r>
      <w:r w:rsidR="00A94B69">
        <w:t xml:space="preserve"> </w:t>
      </w:r>
      <w:r w:rsidR="00C53B3F">
        <w:t>20</w:t>
      </w:r>
      <w:r w:rsidR="00A94B69">
        <w:t xml:space="preserve"> and 24</w:t>
      </w:r>
      <w:r w:rsidR="00C53B3F">
        <w:t xml:space="preserve"> standard</w:t>
      </w:r>
      <w:r w:rsidR="00A94B69">
        <w:t>s</w:t>
      </w:r>
      <w:r w:rsidR="00C53B3F">
        <w:t>, and a</w:t>
      </w:r>
      <w:r w:rsidR="0083700D">
        <w:t>n</w:t>
      </w:r>
      <w:r w:rsidR="00C53B3F">
        <w:t xml:space="preserve"> </w:t>
      </w:r>
      <w:r w:rsidR="00625528">
        <w:t>AFUE</w:t>
      </w:r>
      <w:r w:rsidR="00C53B3F">
        <w:t xml:space="preserve"> </w:t>
      </w:r>
      <w:r>
        <w:t xml:space="preserve">of 80% </w:t>
      </w:r>
      <w:r w:rsidR="00997924">
        <w:t>is now</w:t>
      </w:r>
      <w:r w:rsidR="00625528">
        <w:t xml:space="preserve"> required for all furnaces</w:t>
      </w:r>
      <w:r>
        <w:t>.</w:t>
      </w:r>
    </w:p>
    <w:p w:rsidR="00CD7ABE" w:rsidRPr="00CD7ABE" w:rsidRDefault="0040425D" w:rsidP="00D37601">
      <w:pPr>
        <w:pStyle w:val="PR2"/>
      </w:pPr>
      <w:r>
        <w:t xml:space="preserve">A 2007 lawsuit brought by several states and environmental groups against the DOE challenged the </w:t>
      </w:r>
      <w:r w:rsidR="006C3F15">
        <w:t xml:space="preserve">residential gas furnace </w:t>
      </w:r>
      <w:r>
        <w:t xml:space="preserve">minimum efficiency levels </w:t>
      </w:r>
      <w:r w:rsidR="006C3F15">
        <w:t>as being too low. At the time, the DOE acknowledged that 99 percent of all furnaces sold already met the new minimum efficiency level of 80% AFUE. [2]</w:t>
      </w:r>
      <w:r>
        <w:t xml:space="preserve"> A survey of furnace retailers conducted </w:t>
      </w:r>
      <w:r w:rsidR="005A7272">
        <w:t xml:space="preserve">by SCG </w:t>
      </w:r>
      <w:r>
        <w:t>in early 2013 found no residential furnaces offered for sale with an efficiency of less than 80% AFUE.</w:t>
      </w:r>
      <w:r w:rsidR="00973F8E">
        <w:t xml:space="preserve"> </w:t>
      </w:r>
      <w:r w:rsidR="00D60695">
        <w:t>This indicates the residential new furnace market is saturated with 80% AFUE furnaces</w:t>
      </w:r>
      <w:r w:rsidR="00973F8E">
        <w:t>.</w:t>
      </w:r>
    </w:p>
    <w:p w:rsidR="00891829" w:rsidRDefault="00323DEA" w:rsidP="00F074C6">
      <w:pPr>
        <w:pStyle w:val="PR1"/>
      </w:pPr>
      <w:r>
        <w:t>Market Applicability</w:t>
      </w:r>
    </w:p>
    <w:p w:rsidR="00CD7ABE" w:rsidRPr="00CD7ABE" w:rsidRDefault="00323DEA" w:rsidP="00CD7ABE">
      <w:pPr>
        <w:pStyle w:val="WPPR2"/>
      </w:pPr>
      <w:r w:rsidRPr="00CD562C">
        <w:t>This mea</w:t>
      </w:r>
      <w:r w:rsidR="00CD7ABE">
        <w:t>sure</w:t>
      </w:r>
      <w:r w:rsidR="00CD7ABE" w:rsidRPr="00CD7ABE">
        <w:t xml:space="preserve"> applies to all types of residential buildings, including mobile homes, single family, and multi-family buildings.</w:t>
      </w:r>
    </w:p>
    <w:p w:rsidR="00323DEA" w:rsidRDefault="00323DEA" w:rsidP="00323DEA">
      <w:pPr>
        <w:pStyle w:val="WPPR1"/>
      </w:pPr>
      <w:r>
        <w:t>Delivery Method</w:t>
      </w:r>
    </w:p>
    <w:p w:rsidR="0095583C" w:rsidRPr="00710025" w:rsidRDefault="00323DEA" w:rsidP="00B560C7">
      <w:pPr>
        <w:pStyle w:val="PR2"/>
        <w:numPr>
          <w:ilvl w:val="0"/>
          <w:numId w:val="0"/>
        </w:numPr>
        <w:ind w:left="1584"/>
        <w:rPr>
          <w:highlight w:val="yellow"/>
        </w:rPr>
      </w:pPr>
      <w:r w:rsidRPr="00B560C7">
        <w:t xml:space="preserve">The delivery method is </w:t>
      </w:r>
      <w:r w:rsidR="00B560C7" w:rsidRPr="00B560C7">
        <w:t>SCG’s deemed rebate program delivered under the downstream</w:t>
      </w:r>
      <w:r w:rsidR="005E5E42">
        <w:t>, midstream, and upstream</w:t>
      </w:r>
      <w:r w:rsidR="00B560C7" w:rsidRPr="00B560C7">
        <w:t xml:space="preserve"> catalog rebate program</w:t>
      </w:r>
      <w:r w:rsidR="005E5E42">
        <w:t>s</w:t>
      </w:r>
      <w:r w:rsidR="00B560C7" w:rsidRPr="00B560C7">
        <w:t>.</w:t>
      </w:r>
    </w:p>
    <w:p w:rsidR="00631335" w:rsidRDefault="00631335" w:rsidP="00631335">
      <w:pPr>
        <w:pStyle w:val="PR1"/>
      </w:pPr>
      <w:r>
        <w:t>Terms and Conditions</w:t>
      </w:r>
    </w:p>
    <w:p w:rsidR="00CD7ABE" w:rsidRDefault="00631335" w:rsidP="00CD7ABE">
      <w:pPr>
        <w:pStyle w:val="PR2"/>
      </w:pPr>
      <w:r>
        <w:t>The measure (or measures) described herein is only available to California Investor-Owned Utility (IOU) Customers whom are paying the Public Goods Charge, and are Customers of the IOU for which the particular measure (or measures) described herein are being offered through the IOU’s Energy Efficiency program.</w:t>
      </w:r>
      <w:r w:rsidR="00CD7ABE" w:rsidRPr="00CD7ABE">
        <w:t xml:space="preserve"> </w:t>
      </w:r>
    </w:p>
    <w:p w:rsidR="00CD7ABE" w:rsidRPr="00CD7ABE" w:rsidRDefault="00CD7ABE" w:rsidP="00CD7ABE">
      <w:pPr>
        <w:pStyle w:val="PR2"/>
      </w:pPr>
      <w:r w:rsidRPr="00CD7ABE">
        <w:t xml:space="preserve">Customer must have natural gas distributed by </w:t>
      </w:r>
      <w:r>
        <w:t>SCG</w:t>
      </w:r>
      <w:r w:rsidRPr="00CD7ABE">
        <w:t xml:space="preserve"> to the installation address.</w:t>
      </w:r>
    </w:p>
    <w:p w:rsidR="00CD7ABE" w:rsidRPr="00CD7ABE" w:rsidRDefault="00CD7ABE" w:rsidP="00CD7ABE">
      <w:pPr>
        <w:pStyle w:val="PR2"/>
      </w:pPr>
      <w:r w:rsidRPr="00CD7ABE">
        <w:t xml:space="preserve">All installations must replace the previously installed product. </w:t>
      </w:r>
    </w:p>
    <w:p w:rsidR="00CD7ABE" w:rsidRPr="00CD7ABE" w:rsidRDefault="00CD7ABE" w:rsidP="00CD7ABE">
      <w:pPr>
        <w:pStyle w:val="PR2"/>
      </w:pPr>
      <w:r w:rsidRPr="00CD7ABE">
        <w:t>The central natural gas forced air furnace must have an Annua</w:t>
      </w:r>
      <w:r>
        <w:t xml:space="preserve">l Fuel Utilization Efficiency </w:t>
      </w:r>
      <w:r w:rsidR="009E4C2C">
        <w:t xml:space="preserve">(AFUE) rating of </w:t>
      </w:r>
      <w:r w:rsidR="00743FA7">
        <w:t xml:space="preserve">92% </w:t>
      </w:r>
      <w:r w:rsidR="00743FA7" w:rsidRPr="00CD7ABE">
        <w:t>to 9</w:t>
      </w:r>
      <w:r w:rsidR="00743FA7">
        <w:t>4</w:t>
      </w:r>
      <w:r w:rsidR="00743FA7" w:rsidRPr="00CD7ABE">
        <w:t>.9</w:t>
      </w:r>
      <w:r w:rsidR="00743FA7">
        <w:t xml:space="preserve">%, </w:t>
      </w:r>
      <w:r w:rsidR="009E4C2C">
        <w:t>95%</w:t>
      </w:r>
      <w:r w:rsidR="00743FA7">
        <w:t xml:space="preserve"> </w:t>
      </w:r>
      <w:r w:rsidRPr="00CD7ABE">
        <w:t>to 9</w:t>
      </w:r>
      <w:r w:rsidR="0092503E">
        <w:t>5</w:t>
      </w:r>
      <w:r w:rsidRPr="00CD7ABE">
        <w:t>.9</w:t>
      </w:r>
      <w:r w:rsidR="009E4C2C">
        <w:t>%</w:t>
      </w:r>
      <w:r w:rsidR="0092503E">
        <w:t xml:space="preserve">, 96% to 96.9%, </w:t>
      </w:r>
      <w:r w:rsidR="00973F8E">
        <w:t>or 97</w:t>
      </w:r>
      <w:r w:rsidR="009E4C2C">
        <w:t>%</w:t>
      </w:r>
      <w:r w:rsidR="00973F8E">
        <w:t xml:space="preserve"> </w:t>
      </w:r>
      <w:r w:rsidR="0092503E">
        <w:t>to qualify for incentives.</w:t>
      </w:r>
    </w:p>
    <w:p w:rsidR="00CD7ABE" w:rsidRPr="00CD7ABE" w:rsidRDefault="00CD7ABE" w:rsidP="00CD7ABE">
      <w:pPr>
        <w:pStyle w:val="PR2"/>
      </w:pPr>
      <w:r w:rsidRPr="00CD7ABE">
        <w:t>Go to www.ahridirectory.org to search for qualifying prod</w:t>
      </w:r>
      <w:r>
        <w:t xml:space="preserve">ucts that meet or exceed the </w:t>
      </w:r>
      <w:r w:rsidRPr="00CD7ABE">
        <w:t>requirements in the Furnace Rebate Table.</w:t>
      </w:r>
      <w:r w:rsidR="00905F2D">
        <w:t xml:space="preserve"> </w:t>
      </w:r>
    </w:p>
    <w:p w:rsidR="00697596" w:rsidRDefault="00697596" w:rsidP="0095583C">
      <w:pPr>
        <w:pStyle w:val="PR2"/>
        <w:numPr>
          <w:ilvl w:val="0"/>
          <w:numId w:val="0"/>
        </w:numPr>
        <w:ind w:left="1584"/>
      </w:pPr>
    </w:p>
    <w:p w:rsidR="0092503E" w:rsidRDefault="0092503E" w:rsidP="00D17CA5">
      <w:pPr>
        <w:pStyle w:val="PR2"/>
        <w:numPr>
          <w:ilvl w:val="0"/>
          <w:numId w:val="0"/>
        </w:numPr>
      </w:pPr>
    </w:p>
    <w:p w:rsidR="00D17CA5" w:rsidRDefault="00D17CA5" w:rsidP="00D17CA5">
      <w:pPr>
        <w:pStyle w:val="PR2"/>
        <w:numPr>
          <w:ilvl w:val="0"/>
          <w:numId w:val="0"/>
        </w:numPr>
      </w:pPr>
    </w:p>
    <w:p w:rsidR="001C644E" w:rsidRDefault="001C644E" w:rsidP="00E97D72">
      <w:pPr>
        <w:pStyle w:val="WPART"/>
      </w:pPr>
      <w:bookmarkStart w:id="12" w:name="_Toc214003084"/>
      <w:bookmarkStart w:id="13" w:name="_Toc357762656"/>
      <w:r w:rsidRPr="001248A3">
        <w:t>DEER Differences Analysis</w:t>
      </w:r>
      <w:bookmarkEnd w:id="12"/>
      <w:bookmarkEnd w:id="13"/>
      <w:r w:rsidR="00332D61">
        <w:t xml:space="preserve"> </w:t>
      </w:r>
    </w:p>
    <w:p w:rsidR="004B4EBF" w:rsidRPr="00373CA6" w:rsidRDefault="008A0C5A" w:rsidP="004B4EBF">
      <w:pPr>
        <w:pStyle w:val="WPPR1"/>
      </w:pPr>
      <w:r>
        <w:lastRenderedPageBreak/>
        <w:t xml:space="preserve">Baseline </w:t>
      </w:r>
      <w:r w:rsidR="004B4EBF" w:rsidRPr="00373CA6">
        <w:t>Efficiency</w:t>
      </w:r>
    </w:p>
    <w:p w:rsidR="004B4EBF" w:rsidRDefault="00E54C3C" w:rsidP="004B4EBF">
      <w:pPr>
        <w:pStyle w:val="WPPR2"/>
      </w:pPr>
      <w:r>
        <w:t>The 2017</w:t>
      </w:r>
      <w:r w:rsidR="00A4623A" w:rsidRPr="0077159C">
        <w:t xml:space="preserve"> Database for Ener</w:t>
      </w:r>
      <w:r w:rsidR="00AF56B3">
        <w:t>gy Efficient Resources (DEER2017</w:t>
      </w:r>
      <w:r w:rsidR="00A4623A" w:rsidRPr="0077159C">
        <w:t>)</w:t>
      </w:r>
      <w:r w:rsidR="00AF56B3">
        <w:t xml:space="preserve"> v2.4.7</w:t>
      </w:r>
      <w:r w:rsidR="00A4623A">
        <w:t xml:space="preserve"> [</w:t>
      </w:r>
      <w:r w:rsidR="00654705">
        <w:t>3</w:t>
      </w:r>
      <w:r w:rsidR="00A4623A">
        <w:t xml:space="preserve">] data include: gas energy savings, equipment useful life, and net-to-gross </w:t>
      </w:r>
      <w:r w:rsidR="005A7272">
        <w:t>for</w:t>
      </w:r>
      <w:r w:rsidR="00A4623A" w:rsidRPr="0077159C">
        <w:t xml:space="preserve"> this measure</w:t>
      </w:r>
      <w:r w:rsidR="00A4623A">
        <w:t xml:space="preserve"> (</w:t>
      </w:r>
      <w:r w:rsidR="007A767B" w:rsidRPr="001E5DFB">
        <w:t>Res-GasFurnace-AFUE9</w:t>
      </w:r>
      <w:r w:rsidR="007A767B">
        <w:t xml:space="preserve">2, </w:t>
      </w:r>
      <w:r w:rsidR="00A4623A" w:rsidRPr="00144C14">
        <w:t>Res-GasFurnace-AFUE95</w:t>
      </w:r>
      <w:r w:rsidR="0092503E">
        <w:t>, Res-GasFurnace-AFUE96</w:t>
      </w:r>
      <w:r w:rsidR="001E5E84">
        <w:t xml:space="preserve"> and Res-GasFurnace-AFUE97</w:t>
      </w:r>
      <w:r w:rsidR="00A4623A">
        <w:t xml:space="preserve">). </w:t>
      </w:r>
      <w:r w:rsidR="00271717">
        <w:t>T</w:t>
      </w:r>
      <w:r w:rsidR="00AF56B3">
        <w:t>he DEER2017</w:t>
      </w:r>
      <w:r w:rsidR="00A4623A">
        <w:t xml:space="preserve"> database adopted the US Department of Energy (DOE) </w:t>
      </w:r>
      <w:r w:rsidR="00A4623A" w:rsidRPr="0077159C">
        <w:t>(10 CFR Part</w:t>
      </w:r>
      <w:r w:rsidR="00CF0E93">
        <w:t xml:space="preserve"> 430)</w:t>
      </w:r>
      <w:r w:rsidR="00A4623A" w:rsidRPr="00CF0E93">
        <w:rPr>
          <w:vertAlign w:val="superscript"/>
        </w:rPr>
        <w:t>[</w:t>
      </w:r>
      <w:r w:rsidR="00F074C6" w:rsidRPr="00CF0E93">
        <w:rPr>
          <w:vertAlign w:val="superscript"/>
        </w:rPr>
        <w:t>3</w:t>
      </w:r>
      <w:r w:rsidR="00A4623A" w:rsidRPr="00CF0E93">
        <w:rPr>
          <w:vertAlign w:val="superscript"/>
        </w:rPr>
        <w:t>]</w:t>
      </w:r>
      <w:r w:rsidR="00A4623A">
        <w:t xml:space="preserve"> </w:t>
      </w:r>
      <w:r w:rsidR="00A4623A" w:rsidRPr="0077159C">
        <w:t>Energy Regulations</w:t>
      </w:r>
      <w:r w:rsidR="00A4623A">
        <w:t xml:space="preserve"> </w:t>
      </w:r>
      <w:r w:rsidR="00F43986">
        <w:t xml:space="preserve">that take effect May 1, 2013 </w:t>
      </w:r>
      <w:r w:rsidR="00A4623A">
        <w:t>as the baseline standard for all installations.</w:t>
      </w:r>
      <w:r w:rsidR="00271717">
        <w:t xml:space="preserve"> </w:t>
      </w:r>
      <w:r w:rsidR="009E4C2C">
        <w:t>The DEE</w:t>
      </w:r>
      <w:r w:rsidR="00CF0E93">
        <w:t>R2017</w:t>
      </w:r>
      <w:r w:rsidR="009E4C2C">
        <w:t xml:space="preserve"> database uses a baseline standard efficiency of 80% AFUE. </w:t>
      </w:r>
    </w:p>
    <w:p w:rsidR="00D17CA5" w:rsidRDefault="00D17CA5" w:rsidP="00D17CA5">
      <w:pPr>
        <w:pStyle w:val="PR1"/>
      </w:pPr>
      <w:r>
        <w:t>Purpose for Revision and Calculation of Savings</w:t>
      </w:r>
    </w:p>
    <w:p w:rsidR="00D17CA5" w:rsidRDefault="00CF0E93" w:rsidP="00FE22AB">
      <w:pPr>
        <w:pStyle w:val="PR2"/>
      </w:pPr>
      <w:r>
        <w:t xml:space="preserve">The purpose for a newly revised workpaper, Revision 04, is due to the changes in DEER savings. Since the previous revision, the minimum AFUE for all residential furnaces has been defined at 80%, due to the revision of Title 20. </w:t>
      </w:r>
    </w:p>
    <w:p w:rsidR="00CF0E93" w:rsidRPr="00373CA6" w:rsidRDefault="00D17CA5" w:rsidP="00FE22AB">
      <w:pPr>
        <w:pStyle w:val="PR2"/>
      </w:pPr>
      <w:r>
        <w:t>Annual gas</w:t>
      </w:r>
      <w:r w:rsidR="00FE22AB">
        <w:t xml:space="preserve"> sa</w:t>
      </w:r>
      <w:r>
        <w:t>vings for this measure has been provided within DEER 2017 in the units of therms per kBTUh. The gas savings within this measure has been converted</w:t>
      </w:r>
      <w:r w:rsidR="00FE22AB">
        <w:t xml:space="preserve"> </w:t>
      </w:r>
      <w:r>
        <w:t xml:space="preserve">to therms per unit, this calculation can be seen in Attachment A, </w:t>
      </w:r>
      <w:r>
        <w:rPr>
          <w:i/>
        </w:rPr>
        <w:t>Measure Summary Table and Savings Calculations</w:t>
      </w:r>
      <w:r w:rsidR="00FE22AB">
        <w:t>. This change in gas savings measurements allows for an incentive based on the entire unit installed based on AFUE, as opposed to an incentive based on manufacturer rated gas input.</w:t>
      </w:r>
    </w:p>
    <w:p w:rsidR="00A4623A" w:rsidRDefault="00A4623A" w:rsidP="00A4623A">
      <w:pPr>
        <w:pStyle w:val="WPPR1"/>
      </w:pPr>
      <w:r>
        <w:t>Incremental Measure Cost</w:t>
      </w:r>
    </w:p>
    <w:p w:rsidR="00F3225A" w:rsidRDefault="001A794D" w:rsidP="00A4623A">
      <w:pPr>
        <w:pStyle w:val="PR2"/>
      </w:pPr>
      <w:r>
        <w:t>The 2017</w:t>
      </w:r>
      <w:r w:rsidRPr="0077159C">
        <w:t xml:space="preserve"> Database for Ener</w:t>
      </w:r>
      <w:r>
        <w:t>gy Efficient Resources (DEER2017</w:t>
      </w:r>
      <w:r w:rsidRPr="0077159C">
        <w:t>)</w:t>
      </w:r>
      <w:r>
        <w:t xml:space="preserve"> v2.4.7</w:t>
      </w:r>
      <w:r w:rsidR="00A4623A">
        <w:t xml:space="preserve"> [</w:t>
      </w:r>
      <w:r w:rsidR="006C3F15">
        <w:t>3</w:t>
      </w:r>
      <w:r w:rsidR="00A4623A">
        <w:t>] data include: gas energy savings</w:t>
      </w:r>
      <w:r w:rsidR="00004721">
        <w:t>, equipment useful life, and net-to-gross of</w:t>
      </w:r>
      <w:r w:rsidR="00004721" w:rsidRPr="0077159C">
        <w:t xml:space="preserve"> this measure</w:t>
      </w:r>
      <w:r w:rsidR="00004721">
        <w:t xml:space="preserve"> </w:t>
      </w:r>
      <w:r w:rsidR="0092503E">
        <w:t>(</w:t>
      </w:r>
      <w:r w:rsidR="0092503E" w:rsidRPr="001E5DFB">
        <w:t>Res-GasFurnace-AFUE9</w:t>
      </w:r>
      <w:r w:rsidR="0092503E">
        <w:t xml:space="preserve">2, </w:t>
      </w:r>
      <w:r w:rsidR="0092503E" w:rsidRPr="00144C14">
        <w:t>Res-GasFurnace-AFUE95</w:t>
      </w:r>
      <w:r w:rsidR="0092503E">
        <w:t>, Res-GasFurnace-AFUE96 and Res-GasFurnace-AFUE97</w:t>
      </w:r>
      <w:r w:rsidR="00004721">
        <w:t>)</w:t>
      </w:r>
      <w:r w:rsidR="00004721" w:rsidRPr="0077159C">
        <w:t xml:space="preserve">.  </w:t>
      </w:r>
      <w:r w:rsidR="00004721">
        <w:t xml:space="preserve">However, it does not contain information on equipment unit costs, </w:t>
      </w:r>
      <w:r w:rsidR="005D2E71">
        <w:t>installation</w:t>
      </w:r>
      <w:r w:rsidR="00F3225A">
        <w:t xml:space="preserve"> and incremental costs. </w:t>
      </w:r>
    </w:p>
    <w:p w:rsidR="00F3225A" w:rsidRDefault="00F3225A" w:rsidP="00F3225A">
      <w:pPr>
        <w:pStyle w:val="PR2"/>
      </w:pPr>
      <w:r w:rsidRPr="00F3225A">
        <w:t>Data w</w:t>
      </w:r>
      <w:r>
        <w:t>as</w:t>
      </w:r>
      <w:r w:rsidRPr="00F3225A">
        <w:t xml:space="preserve"> collected through a survey of vendors that </w:t>
      </w:r>
      <w:r>
        <w:t>sell residential gas furnaces</w:t>
      </w:r>
      <w:r w:rsidRPr="00F3225A">
        <w:t xml:space="preserve">.  The incremental measure costs used in this workpaper are the arithmetic average of the survey cost data for the </w:t>
      </w:r>
      <w:r>
        <w:t>gas furnaces</w:t>
      </w:r>
      <w:r w:rsidRPr="00F3225A">
        <w:t xml:space="preserve"> covered by this workpaper.</w:t>
      </w:r>
    </w:p>
    <w:p w:rsidR="00004721" w:rsidRPr="0077159C" w:rsidRDefault="00F3225A" w:rsidP="00A4623A">
      <w:pPr>
        <w:pStyle w:val="PR2"/>
      </w:pPr>
      <w:r>
        <w:t>D</w:t>
      </w:r>
      <w:r w:rsidR="00004721" w:rsidRPr="0077159C">
        <w:t>ata from DEER</w:t>
      </w:r>
      <w:r w:rsidR="00004721">
        <w:t>2008 v2.05</w:t>
      </w:r>
      <w:r w:rsidR="00004721" w:rsidRPr="0077159C">
        <w:t xml:space="preserve"> </w:t>
      </w:r>
      <w:r w:rsidR="002A7D0E">
        <w:t>[</w:t>
      </w:r>
      <w:r w:rsidR="006C3F15">
        <w:t>4</w:t>
      </w:r>
      <w:r w:rsidR="002A7D0E">
        <w:t xml:space="preserve">] </w:t>
      </w:r>
      <w:r w:rsidR="005A7272">
        <w:t xml:space="preserve">database </w:t>
      </w:r>
      <w:r w:rsidR="00004721" w:rsidRPr="0077159C">
        <w:t>was used to estimate the</w:t>
      </w:r>
      <w:r w:rsidR="00004721">
        <w:t xml:space="preserve"> </w:t>
      </w:r>
      <w:r>
        <w:t>installation costs</w:t>
      </w:r>
      <w:r w:rsidR="00004721">
        <w:t xml:space="preserve">. </w:t>
      </w:r>
    </w:p>
    <w:p w:rsidR="00004721" w:rsidRPr="0077159C" w:rsidRDefault="00004721" w:rsidP="00004721"/>
    <w:p w:rsidR="00004721" w:rsidRPr="00735288" w:rsidRDefault="00004721" w:rsidP="00F43986">
      <w:pPr>
        <w:pStyle w:val="TBL"/>
        <w:keepNext/>
        <w:ind w:left="360"/>
      </w:pPr>
      <w:bookmarkStart w:id="14" w:name="_Toc327873661"/>
      <w:bookmarkStart w:id="15" w:name="_Toc355245883"/>
      <w:bookmarkStart w:id="16" w:name="_Toc384913194"/>
      <w:r w:rsidRPr="00735288">
        <w:t xml:space="preserve">Table </w:t>
      </w:r>
      <w:r w:rsidR="006F409E">
        <w:fldChar w:fldCharType="begin"/>
      </w:r>
      <w:r w:rsidR="008F2CB4">
        <w:instrText xml:space="preserve"> SEQ Table \* ARABIC </w:instrText>
      </w:r>
      <w:r w:rsidR="006F409E">
        <w:fldChar w:fldCharType="separate"/>
      </w:r>
      <w:r w:rsidR="003322A7">
        <w:rPr>
          <w:noProof/>
        </w:rPr>
        <w:t>2</w:t>
      </w:r>
      <w:r w:rsidR="006F409E">
        <w:fldChar w:fldCharType="end"/>
      </w:r>
      <w:r w:rsidRPr="00735288">
        <w:t>: DEER Use and Technology Table</w:t>
      </w:r>
      <w:bookmarkEnd w:id="14"/>
      <w:bookmarkEnd w:id="15"/>
      <w:bookmarkEnd w:id="16"/>
    </w:p>
    <w:tbl>
      <w:tblPr>
        <w:tblW w:w="9155" w:type="dxa"/>
        <w:jc w:val="center"/>
        <w:tblLook w:val="00A0" w:firstRow="1" w:lastRow="0" w:firstColumn="1" w:lastColumn="0" w:noHBand="0" w:noVBand="0"/>
      </w:tblPr>
      <w:tblGrid>
        <w:gridCol w:w="2525"/>
        <w:gridCol w:w="2340"/>
        <w:gridCol w:w="2430"/>
        <w:gridCol w:w="1860"/>
      </w:tblGrid>
      <w:tr w:rsidR="00004721" w:rsidRPr="0077159C" w:rsidTr="00004721">
        <w:trPr>
          <w:trHeight w:val="300"/>
          <w:jc w:val="center"/>
        </w:trPr>
        <w:tc>
          <w:tcPr>
            <w:tcW w:w="9155" w:type="dxa"/>
            <w:gridSpan w:val="4"/>
            <w:tcBorders>
              <w:top w:val="single" w:sz="4" w:space="0" w:color="auto"/>
              <w:left w:val="single" w:sz="4" w:space="0" w:color="auto"/>
              <w:bottom w:val="single" w:sz="4" w:space="0" w:color="auto"/>
              <w:right w:val="single" w:sz="4" w:space="0" w:color="000000"/>
            </w:tcBorders>
            <w:noWrap/>
            <w:vAlign w:val="bottom"/>
          </w:tcPr>
          <w:p w:rsidR="00004721" w:rsidRPr="0089468B" w:rsidRDefault="00004721" w:rsidP="00F43986">
            <w:pPr>
              <w:keepNext/>
              <w:jc w:val="center"/>
              <w:rPr>
                <w:i/>
                <w:iCs/>
                <w:color w:val="000000"/>
              </w:rPr>
            </w:pPr>
            <w:r w:rsidRPr="0089468B">
              <w:rPr>
                <w:i/>
                <w:iCs/>
                <w:color w:val="000000"/>
              </w:rPr>
              <w:t>DEER USE and TECHNOLOGY TABLE</w:t>
            </w:r>
          </w:p>
        </w:tc>
      </w:tr>
      <w:tr w:rsidR="00004721" w:rsidRPr="0077159C" w:rsidTr="00004721">
        <w:trPr>
          <w:trHeight w:val="585"/>
          <w:jc w:val="center"/>
        </w:trPr>
        <w:tc>
          <w:tcPr>
            <w:tcW w:w="2525" w:type="dxa"/>
            <w:tcBorders>
              <w:top w:val="nil"/>
              <w:left w:val="single" w:sz="4" w:space="0" w:color="auto"/>
              <w:bottom w:val="single" w:sz="4" w:space="0" w:color="auto"/>
              <w:right w:val="single" w:sz="4" w:space="0" w:color="auto"/>
            </w:tcBorders>
            <w:shd w:val="clear" w:color="000000" w:fill="BFBFBF"/>
            <w:vAlign w:val="center"/>
          </w:tcPr>
          <w:p w:rsidR="00004721" w:rsidRPr="0077159C" w:rsidRDefault="00004721" w:rsidP="00F43986">
            <w:pPr>
              <w:keepNext/>
              <w:jc w:val="center"/>
              <w:rPr>
                <w:color w:val="000000"/>
              </w:rPr>
            </w:pPr>
            <w:r w:rsidRPr="0077159C">
              <w:rPr>
                <w:color w:val="000000"/>
              </w:rPr>
              <w:t>Use Category Description</w:t>
            </w:r>
          </w:p>
        </w:tc>
        <w:tc>
          <w:tcPr>
            <w:tcW w:w="2340" w:type="dxa"/>
            <w:tcBorders>
              <w:top w:val="nil"/>
              <w:left w:val="nil"/>
              <w:bottom w:val="single" w:sz="4" w:space="0" w:color="auto"/>
              <w:right w:val="single" w:sz="4" w:space="0" w:color="auto"/>
            </w:tcBorders>
            <w:shd w:val="clear" w:color="000000" w:fill="BFBFBF"/>
            <w:vAlign w:val="center"/>
          </w:tcPr>
          <w:p w:rsidR="00004721" w:rsidRPr="0077159C" w:rsidRDefault="00004721" w:rsidP="00F43986">
            <w:pPr>
              <w:keepNext/>
              <w:jc w:val="center"/>
              <w:rPr>
                <w:color w:val="000000"/>
              </w:rPr>
            </w:pPr>
            <w:r w:rsidRPr="0077159C">
              <w:rPr>
                <w:color w:val="000000"/>
              </w:rPr>
              <w:t>Use Category</w:t>
            </w:r>
          </w:p>
        </w:tc>
        <w:tc>
          <w:tcPr>
            <w:tcW w:w="2430" w:type="dxa"/>
            <w:tcBorders>
              <w:top w:val="nil"/>
              <w:left w:val="nil"/>
              <w:bottom w:val="single" w:sz="4" w:space="0" w:color="auto"/>
              <w:right w:val="single" w:sz="4" w:space="0" w:color="auto"/>
            </w:tcBorders>
            <w:shd w:val="clear" w:color="000000" w:fill="BFBFBF"/>
            <w:vAlign w:val="center"/>
          </w:tcPr>
          <w:p w:rsidR="00004721" w:rsidRPr="0077159C" w:rsidRDefault="00004721" w:rsidP="00F43986">
            <w:pPr>
              <w:keepNext/>
              <w:jc w:val="center"/>
              <w:rPr>
                <w:color w:val="000000"/>
              </w:rPr>
            </w:pPr>
            <w:r w:rsidRPr="0077159C">
              <w:rPr>
                <w:color w:val="000000"/>
              </w:rPr>
              <w:t>Use Sub Category Description</w:t>
            </w:r>
          </w:p>
        </w:tc>
        <w:tc>
          <w:tcPr>
            <w:tcW w:w="1860" w:type="dxa"/>
            <w:tcBorders>
              <w:top w:val="nil"/>
              <w:left w:val="nil"/>
              <w:bottom w:val="single" w:sz="4" w:space="0" w:color="auto"/>
              <w:right w:val="single" w:sz="4" w:space="0" w:color="auto"/>
            </w:tcBorders>
            <w:shd w:val="clear" w:color="000000" w:fill="BFBFBF"/>
            <w:vAlign w:val="center"/>
          </w:tcPr>
          <w:p w:rsidR="00004721" w:rsidRPr="0077159C" w:rsidRDefault="00004721" w:rsidP="00F43986">
            <w:pPr>
              <w:keepNext/>
              <w:jc w:val="center"/>
              <w:rPr>
                <w:color w:val="000000"/>
              </w:rPr>
            </w:pPr>
            <w:r w:rsidRPr="0077159C">
              <w:rPr>
                <w:color w:val="000000"/>
              </w:rPr>
              <w:t>Use Sub Category</w:t>
            </w:r>
          </w:p>
        </w:tc>
      </w:tr>
      <w:tr w:rsidR="00004721" w:rsidRPr="0077159C" w:rsidTr="00004721">
        <w:trPr>
          <w:trHeight w:val="255"/>
          <w:jc w:val="center"/>
        </w:trPr>
        <w:tc>
          <w:tcPr>
            <w:tcW w:w="2525" w:type="dxa"/>
            <w:tcBorders>
              <w:top w:val="nil"/>
              <w:left w:val="single" w:sz="4" w:space="0" w:color="auto"/>
              <w:bottom w:val="single" w:sz="4" w:space="0" w:color="auto"/>
              <w:right w:val="single" w:sz="4" w:space="0" w:color="auto"/>
            </w:tcBorders>
            <w:noWrap/>
            <w:vAlign w:val="center"/>
          </w:tcPr>
          <w:p w:rsidR="00004721" w:rsidRPr="0077159C" w:rsidRDefault="00004721" w:rsidP="00F43986">
            <w:pPr>
              <w:keepNext/>
              <w:jc w:val="center"/>
              <w:rPr>
                <w:color w:val="000000"/>
              </w:rPr>
            </w:pPr>
            <w:r w:rsidRPr="0077159C">
              <w:rPr>
                <w:color w:val="000000"/>
              </w:rPr>
              <w:t>HVAC</w:t>
            </w:r>
          </w:p>
        </w:tc>
        <w:tc>
          <w:tcPr>
            <w:tcW w:w="2340" w:type="dxa"/>
            <w:tcBorders>
              <w:top w:val="nil"/>
              <w:left w:val="nil"/>
              <w:bottom w:val="single" w:sz="4" w:space="0" w:color="auto"/>
              <w:right w:val="single" w:sz="4" w:space="0" w:color="auto"/>
            </w:tcBorders>
            <w:noWrap/>
            <w:vAlign w:val="center"/>
          </w:tcPr>
          <w:p w:rsidR="00004721" w:rsidRPr="0077159C" w:rsidRDefault="00004721" w:rsidP="00F43986">
            <w:pPr>
              <w:keepNext/>
              <w:jc w:val="center"/>
              <w:rPr>
                <w:color w:val="000000"/>
              </w:rPr>
            </w:pPr>
            <w:r w:rsidRPr="0077159C">
              <w:rPr>
                <w:color w:val="000000"/>
              </w:rPr>
              <w:t>HVAC</w:t>
            </w:r>
          </w:p>
        </w:tc>
        <w:tc>
          <w:tcPr>
            <w:tcW w:w="2430" w:type="dxa"/>
            <w:tcBorders>
              <w:top w:val="nil"/>
              <w:left w:val="nil"/>
              <w:bottom w:val="single" w:sz="4" w:space="0" w:color="auto"/>
              <w:right w:val="single" w:sz="4" w:space="0" w:color="auto"/>
            </w:tcBorders>
            <w:noWrap/>
            <w:vAlign w:val="center"/>
          </w:tcPr>
          <w:p w:rsidR="00004721" w:rsidRPr="0077159C" w:rsidRDefault="00004721" w:rsidP="00F43986">
            <w:pPr>
              <w:keepNext/>
              <w:jc w:val="center"/>
              <w:rPr>
                <w:color w:val="000000"/>
              </w:rPr>
            </w:pPr>
            <w:r w:rsidRPr="0077159C">
              <w:rPr>
                <w:color w:val="000000"/>
              </w:rPr>
              <w:t>Space Heating</w:t>
            </w:r>
          </w:p>
        </w:tc>
        <w:tc>
          <w:tcPr>
            <w:tcW w:w="1860" w:type="dxa"/>
            <w:tcBorders>
              <w:top w:val="nil"/>
              <w:left w:val="nil"/>
              <w:bottom w:val="single" w:sz="4" w:space="0" w:color="auto"/>
              <w:right w:val="single" w:sz="4" w:space="0" w:color="auto"/>
            </w:tcBorders>
            <w:noWrap/>
            <w:vAlign w:val="center"/>
          </w:tcPr>
          <w:p w:rsidR="00004721" w:rsidRPr="0077159C" w:rsidRDefault="00004721" w:rsidP="00F43986">
            <w:pPr>
              <w:keepNext/>
              <w:jc w:val="center"/>
              <w:rPr>
                <w:color w:val="000000"/>
              </w:rPr>
            </w:pPr>
            <w:r w:rsidRPr="0077159C">
              <w:rPr>
                <w:color w:val="000000"/>
              </w:rPr>
              <w:t>HVAC-SpHt</w:t>
            </w:r>
          </w:p>
        </w:tc>
      </w:tr>
      <w:tr w:rsidR="00004721" w:rsidRPr="0077159C" w:rsidTr="00004721">
        <w:trPr>
          <w:trHeight w:val="255"/>
          <w:jc w:val="center"/>
        </w:trPr>
        <w:tc>
          <w:tcPr>
            <w:tcW w:w="2525" w:type="dxa"/>
            <w:tcBorders>
              <w:top w:val="nil"/>
              <w:left w:val="single" w:sz="4" w:space="0" w:color="auto"/>
              <w:bottom w:val="single" w:sz="4" w:space="0" w:color="auto"/>
              <w:right w:val="single" w:sz="4" w:space="0" w:color="auto"/>
            </w:tcBorders>
            <w:noWrap/>
            <w:vAlign w:val="center"/>
          </w:tcPr>
          <w:p w:rsidR="00004721" w:rsidRPr="0077159C" w:rsidRDefault="00004721" w:rsidP="00F43986">
            <w:pPr>
              <w:keepNext/>
              <w:jc w:val="center"/>
              <w:rPr>
                <w:color w:val="000000"/>
              </w:rPr>
            </w:pPr>
          </w:p>
        </w:tc>
        <w:tc>
          <w:tcPr>
            <w:tcW w:w="2340" w:type="dxa"/>
            <w:tcBorders>
              <w:top w:val="nil"/>
              <w:left w:val="nil"/>
              <w:bottom w:val="single" w:sz="4" w:space="0" w:color="auto"/>
              <w:right w:val="single" w:sz="4" w:space="0" w:color="auto"/>
            </w:tcBorders>
            <w:noWrap/>
            <w:vAlign w:val="center"/>
          </w:tcPr>
          <w:p w:rsidR="00004721" w:rsidRPr="0077159C" w:rsidRDefault="00004721" w:rsidP="00F43986">
            <w:pPr>
              <w:keepNext/>
              <w:jc w:val="center"/>
              <w:rPr>
                <w:color w:val="000000"/>
              </w:rPr>
            </w:pPr>
          </w:p>
        </w:tc>
        <w:tc>
          <w:tcPr>
            <w:tcW w:w="2430" w:type="dxa"/>
            <w:tcBorders>
              <w:top w:val="nil"/>
              <w:left w:val="nil"/>
              <w:bottom w:val="single" w:sz="4" w:space="0" w:color="auto"/>
              <w:right w:val="single" w:sz="4" w:space="0" w:color="auto"/>
            </w:tcBorders>
            <w:noWrap/>
            <w:vAlign w:val="center"/>
          </w:tcPr>
          <w:p w:rsidR="00004721" w:rsidRPr="0077159C" w:rsidRDefault="00004721" w:rsidP="00F43986">
            <w:pPr>
              <w:keepNext/>
              <w:jc w:val="center"/>
              <w:rPr>
                <w:color w:val="000000"/>
              </w:rPr>
            </w:pPr>
          </w:p>
        </w:tc>
        <w:tc>
          <w:tcPr>
            <w:tcW w:w="1860" w:type="dxa"/>
            <w:tcBorders>
              <w:top w:val="nil"/>
              <w:left w:val="nil"/>
              <w:bottom w:val="single" w:sz="4" w:space="0" w:color="auto"/>
              <w:right w:val="single" w:sz="4" w:space="0" w:color="auto"/>
            </w:tcBorders>
            <w:noWrap/>
            <w:vAlign w:val="center"/>
          </w:tcPr>
          <w:p w:rsidR="00004721" w:rsidRPr="0077159C" w:rsidRDefault="00004721" w:rsidP="00F43986">
            <w:pPr>
              <w:keepNext/>
              <w:jc w:val="center"/>
              <w:rPr>
                <w:color w:val="000000"/>
              </w:rPr>
            </w:pPr>
          </w:p>
        </w:tc>
      </w:tr>
      <w:tr w:rsidR="00004721" w:rsidRPr="0077159C" w:rsidTr="00004721">
        <w:trPr>
          <w:trHeight w:val="540"/>
          <w:jc w:val="center"/>
        </w:trPr>
        <w:tc>
          <w:tcPr>
            <w:tcW w:w="2525" w:type="dxa"/>
            <w:tcBorders>
              <w:top w:val="nil"/>
              <w:left w:val="single" w:sz="4" w:space="0" w:color="auto"/>
              <w:bottom w:val="single" w:sz="4" w:space="0" w:color="auto"/>
              <w:right w:val="single" w:sz="4" w:space="0" w:color="auto"/>
            </w:tcBorders>
            <w:shd w:val="clear" w:color="000000" w:fill="BFBFBF"/>
            <w:vAlign w:val="center"/>
          </w:tcPr>
          <w:p w:rsidR="00004721" w:rsidRPr="0077159C" w:rsidRDefault="00004721" w:rsidP="00F43986">
            <w:pPr>
              <w:keepNext/>
              <w:jc w:val="center"/>
              <w:rPr>
                <w:color w:val="000000"/>
              </w:rPr>
            </w:pPr>
            <w:r w:rsidRPr="0077159C">
              <w:rPr>
                <w:color w:val="000000"/>
              </w:rPr>
              <w:t>Technology Groups Description</w:t>
            </w:r>
          </w:p>
        </w:tc>
        <w:tc>
          <w:tcPr>
            <w:tcW w:w="2340" w:type="dxa"/>
            <w:tcBorders>
              <w:top w:val="nil"/>
              <w:left w:val="nil"/>
              <w:bottom w:val="single" w:sz="4" w:space="0" w:color="auto"/>
              <w:right w:val="single" w:sz="4" w:space="0" w:color="auto"/>
            </w:tcBorders>
            <w:shd w:val="clear" w:color="000000" w:fill="BFBFBF"/>
            <w:vAlign w:val="center"/>
          </w:tcPr>
          <w:p w:rsidR="00004721" w:rsidRPr="0077159C" w:rsidRDefault="00004721" w:rsidP="00F43986">
            <w:pPr>
              <w:keepNext/>
              <w:jc w:val="center"/>
              <w:rPr>
                <w:color w:val="000000"/>
              </w:rPr>
            </w:pPr>
            <w:r w:rsidRPr="0077159C">
              <w:rPr>
                <w:color w:val="000000"/>
              </w:rPr>
              <w:t>Technology Groups</w:t>
            </w:r>
          </w:p>
        </w:tc>
        <w:tc>
          <w:tcPr>
            <w:tcW w:w="2430" w:type="dxa"/>
            <w:tcBorders>
              <w:top w:val="nil"/>
              <w:left w:val="nil"/>
              <w:bottom w:val="single" w:sz="4" w:space="0" w:color="auto"/>
              <w:right w:val="single" w:sz="4" w:space="0" w:color="auto"/>
            </w:tcBorders>
            <w:shd w:val="clear" w:color="000000" w:fill="BFBFBF"/>
            <w:vAlign w:val="center"/>
          </w:tcPr>
          <w:p w:rsidR="00004721" w:rsidRPr="0077159C" w:rsidRDefault="00004721" w:rsidP="00F43986">
            <w:pPr>
              <w:keepNext/>
              <w:jc w:val="center"/>
              <w:rPr>
                <w:color w:val="000000"/>
              </w:rPr>
            </w:pPr>
            <w:r w:rsidRPr="0077159C">
              <w:rPr>
                <w:color w:val="000000"/>
              </w:rPr>
              <w:t>Technology Types Descriptions</w:t>
            </w:r>
          </w:p>
        </w:tc>
        <w:tc>
          <w:tcPr>
            <w:tcW w:w="1860" w:type="dxa"/>
            <w:tcBorders>
              <w:top w:val="nil"/>
              <w:left w:val="nil"/>
              <w:bottom w:val="single" w:sz="4" w:space="0" w:color="auto"/>
              <w:right w:val="single" w:sz="4" w:space="0" w:color="auto"/>
            </w:tcBorders>
            <w:shd w:val="clear" w:color="000000" w:fill="BFBFBF"/>
            <w:vAlign w:val="center"/>
          </w:tcPr>
          <w:p w:rsidR="00004721" w:rsidRPr="0077159C" w:rsidRDefault="00004721" w:rsidP="00F43986">
            <w:pPr>
              <w:keepNext/>
              <w:jc w:val="center"/>
              <w:rPr>
                <w:color w:val="000000"/>
              </w:rPr>
            </w:pPr>
            <w:r w:rsidRPr="0077159C">
              <w:rPr>
                <w:color w:val="000000"/>
              </w:rPr>
              <w:t>Technology Types</w:t>
            </w:r>
          </w:p>
        </w:tc>
      </w:tr>
      <w:tr w:rsidR="00004721" w:rsidRPr="0077159C" w:rsidTr="00004721">
        <w:trPr>
          <w:trHeight w:val="255"/>
          <w:jc w:val="center"/>
        </w:trPr>
        <w:tc>
          <w:tcPr>
            <w:tcW w:w="2525" w:type="dxa"/>
            <w:tcBorders>
              <w:top w:val="nil"/>
              <w:left w:val="single" w:sz="4" w:space="0" w:color="auto"/>
              <w:bottom w:val="single" w:sz="4" w:space="0" w:color="auto"/>
              <w:right w:val="single" w:sz="4" w:space="0" w:color="auto"/>
            </w:tcBorders>
            <w:noWrap/>
            <w:vAlign w:val="center"/>
          </w:tcPr>
          <w:p w:rsidR="00004721" w:rsidRPr="0077159C" w:rsidRDefault="00004721" w:rsidP="00F43986">
            <w:pPr>
              <w:keepNext/>
              <w:jc w:val="center"/>
              <w:rPr>
                <w:color w:val="000000"/>
              </w:rPr>
            </w:pPr>
            <w:r>
              <w:rPr>
                <w:color w:val="000000"/>
              </w:rPr>
              <w:t>Space Heating Equipment</w:t>
            </w:r>
          </w:p>
        </w:tc>
        <w:tc>
          <w:tcPr>
            <w:tcW w:w="2340" w:type="dxa"/>
            <w:tcBorders>
              <w:top w:val="nil"/>
              <w:left w:val="nil"/>
              <w:bottom w:val="single" w:sz="4" w:space="0" w:color="auto"/>
              <w:right w:val="single" w:sz="4" w:space="0" w:color="auto"/>
            </w:tcBorders>
            <w:noWrap/>
            <w:vAlign w:val="center"/>
          </w:tcPr>
          <w:p w:rsidR="00004721" w:rsidRPr="0077159C" w:rsidRDefault="00004721" w:rsidP="00F43986">
            <w:pPr>
              <w:keepNext/>
              <w:jc w:val="center"/>
              <w:rPr>
                <w:color w:val="000000"/>
              </w:rPr>
            </w:pPr>
            <w:r>
              <w:rPr>
                <w:color w:val="000000"/>
              </w:rPr>
              <w:t>SpaceHtg_eq</w:t>
            </w:r>
          </w:p>
        </w:tc>
        <w:tc>
          <w:tcPr>
            <w:tcW w:w="2430" w:type="dxa"/>
            <w:tcBorders>
              <w:top w:val="nil"/>
              <w:left w:val="nil"/>
              <w:bottom w:val="single" w:sz="4" w:space="0" w:color="auto"/>
              <w:right w:val="single" w:sz="4" w:space="0" w:color="auto"/>
            </w:tcBorders>
            <w:noWrap/>
            <w:vAlign w:val="center"/>
          </w:tcPr>
          <w:p w:rsidR="00004721" w:rsidRPr="0077159C" w:rsidRDefault="00004721" w:rsidP="00F43986">
            <w:pPr>
              <w:keepNext/>
              <w:jc w:val="center"/>
              <w:rPr>
                <w:color w:val="000000"/>
              </w:rPr>
            </w:pPr>
            <w:r>
              <w:rPr>
                <w:color w:val="000000"/>
              </w:rPr>
              <w:t>Gas Furnace</w:t>
            </w:r>
          </w:p>
        </w:tc>
        <w:tc>
          <w:tcPr>
            <w:tcW w:w="1860" w:type="dxa"/>
            <w:tcBorders>
              <w:top w:val="nil"/>
              <w:left w:val="nil"/>
              <w:bottom w:val="single" w:sz="4" w:space="0" w:color="auto"/>
              <w:right w:val="single" w:sz="4" w:space="0" w:color="auto"/>
            </w:tcBorders>
            <w:noWrap/>
            <w:vAlign w:val="center"/>
          </w:tcPr>
          <w:p w:rsidR="00004721" w:rsidRPr="0077159C" w:rsidRDefault="00004721" w:rsidP="00F43986">
            <w:pPr>
              <w:keepNext/>
              <w:jc w:val="center"/>
              <w:rPr>
                <w:color w:val="000000"/>
              </w:rPr>
            </w:pPr>
            <w:r>
              <w:rPr>
                <w:color w:val="000000"/>
              </w:rPr>
              <w:t>GasFurnace</w:t>
            </w:r>
          </w:p>
        </w:tc>
      </w:tr>
    </w:tbl>
    <w:p w:rsidR="00004721" w:rsidRPr="003B6BC0" w:rsidRDefault="00004721" w:rsidP="00004721">
      <w:pPr>
        <w:rPr>
          <w:b/>
          <w:bCs/>
        </w:rPr>
      </w:pPr>
      <w:r w:rsidRPr="003B6BC0">
        <w:rPr>
          <w:b/>
          <w:bCs/>
        </w:rPr>
        <w:t xml:space="preserve"> </w:t>
      </w:r>
    </w:p>
    <w:p w:rsidR="003F2BB3" w:rsidRDefault="001C644E" w:rsidP="00E97D72">
      <w:pPr>
        <w:pStyle w:val="WPART"/>
      </w:pPr>
      <w:bookmarkStart w:id="17" w:name="_Toc214003087"/>
      <w:bookmarkStart w:id="18" w:name="_Toc357762657"/>
      <w:r>
        <w:t>Code Analysis</w:t>
      </w:r>
      <w:bookmarkEnd w:id="17"/>
      <w:bookmarkEnd w:id="18"/>
    </w:p>
    <w:p w:rsidR="00C87111" w:rsidRPr="00F14B20" w:rsidRDefault="008E36A5" w:rsidP="00F14B20">
      <w:pPr>
        <w:pStyle w:val="PR1"/>
      </w:pPr>
      <w:r w:rsidRPr="003B6BC0">
        <w:rPr>
          <w:b/>
          <w:bCs/>
          <w:i/>
          <w:iCs/>
        </w:rPr>
        <w:t>Title 20:</w:t>
      </w:r>
      <w:r w:rsidRPr="0077159C">
        <w:t xml:space="preserve"> This measure </w:t>
      </w:r>
      <w:r w:rsidR="00E43820">
        <w:t>falls under</w:t>
      </w:r>
      <w:r w:rsidRPr="0077159C">
        <w:t xml:space="preserve"> </w:t>
      </w:r>
      <w:r w:rsidR="00FE3B4B">
        <w:t xml:space="preserve">the current </w:t>
      </w:r>
      <w:r w:rsidRPr="0077159C">
        <w:t>Title 20 of the California Energy Regulations</w:t>
      </w:r>
      <w:r w:rsidR="00E43820">
        <w:t xml:space="preserve">, section 1605.1 e, </w:t>
      </w:r>
      <w:r w:rsidR="00E43820" w:rsidRPr="00E43820">
        <w:t>Gas and Oil Space Heaters and Electric Residential Boilers</w:t>
      </w:r>
      <w:r w:rsidRPr="0077159C">
        <w:t>.</w:t>
      </w:r>
      <w:r w:rsidR="00E43820">
        <w:t xml:space="preserve"> </w:t>
      </w:r>
      <w:r w:rsidR="0070260B">
        <w:t>As of November 19</w:t>
      </w:r>
      <w:r w:rsidR="0070260B" w:rsidRPr="0070260B">
        <w:rPr>
          <w:vertAlign w:val="superscript"/>
        </w:rPr>
        <w:t>th</w:t>
      </w:r>
      <w:r w:rsidR="0070260B">
        <w:t xml:space="preserve">, 2015, the minimum AFUE for Mobile Home gas furnaces is 80% for all furnaces of any input rating, according to Table E-6, </w:t>
      </w:r>
      <w:r w:rsidR="0070260B">
        <w:rPr>
          <w:i/>
        </w:rPr>
        <w:t>Standards for Commercial Gas/Oil-Fired Central Furnaces</w:t>
      </w:r>
      <w:r w:rsidR="0070260B">
        <w:t xml:space="preserve">. This table also shows for all other building types, the minimum AFUE is 80% for non-weatherized gas furnaces and 81% for weatherized gas furnaces. </w:t>
      </w:r>
      <w:r w:rsidR="00134D70">
        <w:t xml:space="preserve">It </w:t>
      </w:r>
      <w:r w:rsidR="00134D70">
        <w:lastRenderedPageBreak/>
        <w:t>also states</w:t>
      </w:r>
      <w:r w:rsidR="0070260B">
        <w:t xml:space="preserve"> on table E-5,</w:t>
      </w:r>
      <w:r w:rsidR="00134D70">
        <w:t xml:space="preserve"> furnaces with a rated input of more than 225,000 BTU/hr shall have an AFUE of 80</w:t>
      </w:r>
      <w:r w:rsidR="0070260B">
        <w:t>%</w:t>
      </w:r>
      <w:r w:rsidR="00134D70">
        <w:t>.</w:t>
      </w:r>
      <w:r w:rsidR="009C3FC1">
        <w:t xml:space="preserve"> </w:t>
      </w:r>
    </w:p>
    <w:p w:rsidR="008E36A5" w:rsidRPr="0077159C" w:rsidRDefault="008E36A5" w:rsidP="008E36A5">
      <w:pPr>
        <w:pStyle w:val="PR1"/>
        <w:rPr>
          <w:i/>
          <w:iCs/>
        </w:rPr>
      </w:pPr>
      <w:r w:rsidRPr="003B6BC0">
        <w:rPr>
          <w:b/>
          <w:bCs/>
          <w:i/>
          <w:iCs/>
        </w:rPr>
        <w:t>Title 24:</w:t>
      </w:r>
      <w:r w:rsidRPr="003B6BC0">
        <w:rPr>
          <w:b/>
          <w:bCs/>
        </w:rPr>
        <w:t xml:space="preserve"> </w:t>
      </w:r>
      <w:r w:rsidR="00EF2DDB">
        <w:t>T</w:t>
      </w:r>
      <w:r w:rsidRPr="0077159C">
        <w:t>itle 24 of the California Energy Regulations</w:t>
      </w:r>
      <w:r w:rsidR="00EF2DDB">
        <w:t xml:space="preserve"> references California’s Title 20 Appliance Efficiency Standards for the minimum efficiency of furnaces installed in California</w:t>
      </w:r>
      <w:r w:rsidRPr="0077159C">
        <w:t xml:space="preserve">. </w:t>
      </w:r>
    </w:p>
    <w:p w:rsidR="008E36A5" w:rsidRPr="0077159C" w:rsidRDefault="008E36A5" w:rsidP="008E36A5">
      <w:pPr>
        <w:rPr>
          <w:i/>
          <w:iCs/>
          <w:highlight w:val="yellow"/>
        </w:rPr>
      </w:pPr>
    </w:p>
    <w:p w:rsidR="008E36A5" w:rsidRDefault="008E36A5" w:rsidP="008E36A5">
      <w:pPr>
        <w:pStyle w:val="PR1"/>
      </w:pPr>
      <w:r w:rsidRPr="003B6BC0">
        <w:rPr>
          <w:b/>
          <w:bCs/>
          <w:i/>
          <w:iCs/>
        </w:rPr>
        <w:t>Federal Standards:</w:t>
      </w:r>
      <w:r w:rsidRPr="003B6BC0">
        <w:rPr>
          <w:b/>
          <w:bCs/>
        </w:rPr>
        <w:t xml:space="preserve"> </w:t>
      </w:r>
      <w:r w:rsidRPr="0077159C">
        <w:t>This measure fall</w:t>
      </w:r>
      <w:r w:rsidR="00662B19">
        <w:t>s</w:t>
      </w:r>
      <w:r w:rsidRPr="0077159C">
        <w:t xml:space="preserve"> under Federal DOE (10 CFR Part 430) </w:t>
      </w:r>
      <w:r w:rsidR="002A7D0E">
        <w:t>[</w:t>
      </w:r>
      <w:r w:rsidR="007336C0">
        <w:t>5</w:t>
      </w:r>
      <w:r w:rsidR="002A7D0E">
        <w:t xml:space="preserve">] </w:t>
      </w:r>
      <w:r w:rsidRPr="0077159C">
        <w:t>Energy Regulations. Under this regulation, compliance with the standards in the direct final rule will be required on May 1, 2013 for non-weatherized furnaces and on January 1, 2015 for weatherized furnaces and central air conditioners and heat pumps.  Because most residential type furnaces are installed inside the house, it’s</w:t>
      </w:r>
      <w:r>
        <w:t xml:space="preserve"> considered as non-weatherized </w:t>
      </w:r>
      <w:r w:rsidRPr="0077159C">
        <w:t>for which the minimum AFUE is 80%.</w:t>
      </w:r>
      <w:r w:rsidR="00662B19">
        <w:t xml:space="preserve"> </w:t>
      </w:r>
    </w:p>
    <w:p w:rsidR="004809CA" w:rsidRDefault="00662B19" w:rsidP="004809CA">
      <w:pPr>
        <w:pStyle w:val="PR2"/>
      </w:pPr>
      <w:r>
        <w:t xml:space="preserve">On January 14, 2013, the US DOE proposed to settle a lawsuit brought by the American Public Gas Association that seeks to roll back gas furnace efficiency standards. If accepted by the court, the Federal minimum efficiency standards will revert to a minimum AFUE of 75 for mobile homes and a minimum AFUE of 78 for all other residential furnaces. </w:t>
      </w:r>
      <w:r w:rsidR="007336C0">
        <w:t>[6]</w:t>
      </w:r>
    </w:p>
    <w:p w:rsidR="004809CA" w:rsidRPr="0077159C" w:rsidRDefault="004809CA" w:rsidP="004809CA">
      <w:pPr>
        <w:pStyle w:val="PR2"/>
        <w:numPr>
          <w:ilvl w:val="0"/>
          <w:numId w:val="0"/>
        </w:numPr>
        <w:ind w:left="1584"/>
      </w:pPr>
    </w:p>
    <w:p w:rsidR="009C3FC1" w:rsidRPr="009C3FC1" w:rsidRDefault="004809CA" w:rsidP="004809CA">
      <w:pPr>
        <w:pStyle w:val="PR1"/>
      </w:pPr>
      <w:bookmarkStart w:id="19" w:name="_Toc357762658"/>
      <w:r w:rsidRPr="004809CA">
        <w:rPr>
          <w:b/>
        </w:rPr>
        <w:t>California Energy Commission Appliance Efficiency Database:</w:t>
      </w:r>
      <w:r>
        <w:t xml:space="preserve"> </w:t>
      </w:r>
      <w:r w:rsidR="009C3FC1">
        <w:t>Market distribution and availabilit</w:t>
      </w:r>
      <w:r w:rsidR="00F14B20">
        <w:t>y are provided in Attachment C</w:t>
      </w:r>
      <w:r w:rsidR="009C3FC1">
        <w:t xml:space="preserve">. For more details, please refer to California Energy Commission Appliance Efficiency Database. </w:t>
      </w:r>
    </w:p>
    <w:p w:rsidR="001C644E" w:rsidRPr="000F69A2" w:rsidRDefault="001C644E" w:rsidP="00E97D72">
      <w:pPr>
        <w:pStyle w:val="WPART"/>
      </w:pPr>
      <w:r w:rsidRPr="000F69A2">
        <w:t>Measure Effective Useful Life</w:t>
      </w:r>
      <w:bookmarkEnd w:id="19"/>
    </w:p>
    <w:p w:rsidR="000F69A2" w:rsidRDefault="000F69A2" w:rsidP="000F69A2">
      <w:pPr>
        <w:pStyle w:val="PR1"/>
      </w:pPr>
      <w:r w:rsidRPr="0077159C">
        <w:t>The Effective Useful Life (EUL) estimates were downloaded directly from DEER201</w:t>
      </w:r>
      <w:r w:rsidR="00E54C3C">
        <w:t>7</w:t>
      </w:r>
      <w:r w:rsidRPr="0077159C">
        <w:t>; an EUL value of 20 years was obtained from the “EUL_Summary_10-1-08.xls</w:t>
      </w:r>
      <w:r w:rsidR="002A7D0E">
        <w:t xml:space="preserve"> [</w:t>
      </w:r>
      <w:r w:rsidR="007336C0">
        <w:t>7</w:t>
      </w:r>
      <w:r w:rsidR="002A7D0E">
        <w:t>] s</w:t>
      </w:r>
      <w:r w:rsidRPr="0077159C">
        <w:t xml:space="preserve">preadsheet, under the “DEER EUL Summary” tab and located on cell number D118. </w:t>
      </w:r>
    </w:p>
    <w:p w:rsidR="000F69A2" w:rsidRPr="0077159C" w:rsidRDefault="000F69A2" w:rsidP="000F69A2">
      <w:pPr>
        <w:pStyle w:val="PR1"/>
      </w:pPr>
      <w:r>
        <w:t xml:space="preserve">Remaining Useful Life does not apply to this measure as the measure application type is ROB and NC, no early retirement in </w:t>
      </w:r>
      <w:r w:rsidR="00134D70">
        <w:t xml:space="preserve">the </w:t>
      </w:r>
      <w:r>
        <w:t xml:space="preserve">program. </w:t>
      </w:r>
    </w:p>
    <w:p w:rsidR="000F69A2" w:rsidRDefault="000F69A2" w:rsidP="000F69A2"/>
    <w:p w:rsidR="000D75EF" w:rsidRPr="000D75EF" w:rsidRDefault="00F44075" w:rsidP="001A3391">
      <w:pPr>
        <w:pStyle w:val="Caption"/>
      </w:pPr>
      <w:bookmarkStart w:id="20" w:name="_Toc384913195"/>
      <w:r>
        <w:t xml:space="preserve">Table </w:t>
      </w:r>
      <w:r w:rsidR="006F409E">
        <w:fldChar w:fldCharType="begin"/>
      </w:r>
      <w:r w:rsidR="00231A62">
        <w:instrText xml:space="preserve"> SEQ Table \* ARABIC </w:instrText>
      </w:r>
      <w:r w:rsidR="006F409E">
        <w:fldChar w:fldCharType="separate"/>
      </w:r>
      <w:r w:rsidR="003322A7">
        <w:rPr>
          <w:noProof/>
        </w:rPr>
        <w:t>3</w:t>
      </w:r>
      <w:r w:rsidR="006F409E">
        <w:rPr>
          <w:noProof/>
        </w:rPr>
        <w:fldChar w:fldCharType="end"/>
      </w:r>
      <w:r w:rsidRPr="00492DC5">
        <w:t>: Effective Useful Life</w:t>
      </w:r>
      <w:bookmarkEnd w:id="2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62"/>
        <w:gridCol w:w="1351"/>
        <w:gridCol w:w="1406"/>
        <w:gridCol w:w="1061"/>
        <w:gridCol w:w="1072"/>
        <w:gridCol w:w="1506"/>
      </w:tblGrid>
      <w:tr w:rsidR="000F69A2" w:rsidRPr="0077159C" w:rsidTr="000F69A2">
        <w:trPr>
          <w:jc w:val="center"/>
        </w:trPr>
        <w:tc>
          <w:tcPr>
            <w:tcW w:w="0" w:type="auto"/>
          </w:tcPr>
          <w:p w:rsidR="000F69A2" w:rsidRPr="0077159C" w:rsidRDefault="000F69A2" w:rsidP="003401CC">
            <w:r w:rsidRPr="0077159C">
              <w:t xml:space="preserve">Building type </w:t>
            </w:r>
          </w:p>
        </w:tc>
        <w:tc>
          <w:tcPr>
            <w:tcW w:w="0" w:type="auto"/>
          </w:tcPr>
          <w:p w:rsidR="000F69A2" w:rsidRPr="0077159C" w:rsidRDefault="000F69A2" w:rsidP="003401CC">
            <w:r w:rsidRPr="0077159C">
              <w:t xml:space="preserve">Bldg Vintage </w:t>
            </w:r>
          </w:p>
        </w:tc>
        <w:tc>
          <w:tcPr>
            <w:tcW w:w="0" w:type="auto"/>
          </w:tcPr>
          <w:p w:rsidR="000F69A2" w:rsidRPr="0077159C" w:rsidRDefault="000F69A2" w:rsidP="003401CC">
            <w:r w:rsidRPr="0077159C">
              <w:t xml:space="preserve">Climate Zone </w:t>
            </w:r>
          </w:p>
        </w:tc>
        <w:tc>
          <w:tcPr>
            <w:tcW w:w="0" w:type="auto"/>
          </w:tcPr>
          <w:p w:rsidR="000F69A2" w:rsidRPr="0077159C" w:rsidRDefault="000F69A2" w:rsidP="003401CC">
            <w:r w:rsidRPr="0077159C">
              <w:t>EUL (yrs)</w:t>
            </w:r>
          </w:p>
        </w:tc>
        <w:tc>
          <w:tcPr>
            <w:tcW w:w="0" w:type="auto"/>
          </w:tcPr>
          <w:p w:rsidR="000F69A2" w:rsidRPr="0077159C" w:rsidRDefault="000F69A2" w:rsidP="003401CC">
            <w:r w:rsidRPr="0077159C">
              <w:t>RUL (yrs)</w:t>
            </w:r>
          </w:p>
        </w:tc>
        <w:tc>
          <w:tcPr>
            <w:tcW w:w="0" w:type="auto"/>
          </w:tcPr>
          <w:p w:rsidR="000F69A2" w:rsidRPr="0077159C" w:rsidRDefault="000F69A2" w:rsidP="003401CC">
            <w:r w:rsidRPr="0077159C">
              <w:t>DEER Version</w:t>
            </w:r>
          </w:p>
        </w:tc>
      </w:tr>
      <w:tr w:rsidR="000F69A2" w:rsidRPr="0077159C" w:rsidTr="000F69A2">
        <w:trPr>
          <w:jc w:val="center"/>
        </w:trPr>
        <w:tc>
          <w:tcPr>
            <w:tcW w:w="0" w:type="auto"/>
          </w:tcPr>
          <w:p w:rsidR="000F69A2" w:rsidRPr="0077159C" w:rsidRDefault="000F69A2" w:rsidP="003401CC">
            <w:r>
              <w:t>ALL</w:t>
            </w:r>
          </w:p>
        </w:tc>
        <w:tc>
          <w:tcPr>
            <w:tcW w:w="0" w:type="auto"/>
          </w:tcPr>
          <w:p w:rsidR="000F69A2" w:rsidRPr="0077159C" w:rsidRDefault="000F69A2" w:rsidP="003401CC">
            <w:r w:rsidRPr="0077159C">
              <w:t>AV</w:t>
            </w:r>
          </w:p>
        </w:tc>
        <w:tc>
          <w:tcPr>
            <w:tcW w:w="0" w:type="auto"/>
          </w:tcPr>
          <w:p w:rsidR="000F69A2" w:rsidRPr="0077159C" w:rsidRDefault="000F69A2" w:rsidP="003401CC">
            <w:r>
              <w:t>ALL</w:t>
            </w:r>
          </w:p>
        </w:tc>
        <w:tc>
          <w:tcPr>
            <w:tcW w:w="0" w:type="auto"/>
          </w:tcPr>
          <w:p w:rsidR="000F69A2" w:rsidRPr="0077159C" w:rsidRDefault="000F69A2" w:rsidP="003401CC">
            <w:r w:rsidRPr="0077159C">
              <w:t>20</w:t>
            </w:r>
          </w:p>
        </w:tc>
        <w:tc>
          <w:tcPr>
            <w:tcW w:w="0" w:type="auto"/>
          </w:tcPr>
          <w:p w:rsidR="000F69A2" w:rsidRPr="0077159C" w:rsidRDefault="000F69A2" w:rsidP="003401CC">
            <w:r w:rsidRPr="0077159C">
              <w:t>0</w:t>
            </w:r>
          </w:p>
        </w:tc>
        <w:tc>
          <w:tcPr>
            <w:tcW w:w="0" w:type="auto"/>
          </w:tcPr>
          <w:p w:rsidR="000F69A2" w:rsidRPr="0077159C" w:rsidRDefault="00C87111" w:rsidP="003401CC">
            <w:r>
              <w:t>DEER201</w:t>
            </w:r>
            <w:r w:rsidR="00E54C3C">
              <w:t>7</w:t>
            </w:r>
          </w:p>
        </w:tc>
      </w:tr>
    </w:tbl>
    <w:p w:rsidR="000F69A2" w:rsidRPr="0077159C" w:rsidRDefault="000F69A2" w:rsidP="000F69A2">
      <w:pPr>
        <w:rPr>
          <w:i/>
          <w:iCs/>
          <w:color w:val="FF0000"/>
        </w:rPr>
      </w:pPr>
    </w:p>
    <w:p w:rsidR="000F69A2" w:rsidRPr="0077159C" w:rsidRDefault="000F69A2" w:rsidP="000F69A2">
      <w:pPr>
        <w:pStyle w:val="PR1"/>
      </w:pPr>
      <w:r w:rsidRPr="0077159C">
        <w:t xml:space="preserve">In-service rate/first year installation rate: DEER does not have an in-service rate (ISR) for this measure.  An assumption has been taken to assume the ISR will be 1 since </w:t>
      </w:r>
      <w:r w:rsidR="00134D70">
        <w:t xml:space="preserve">the </w:t>
      </w:r>
      <w:r w:rsidRPr="0077159C">
        <w:t xml:space="preserve">majority of the customers will replace their furnace after the existing furnace burns out.  </w:t>
      </w:r>
    </w:p>
    <w:p w:rsidR="000F69A2" w:rsidRDefault="000F69A2" w:rsidP="000F69A2">
      <w:r w:rsidRPr="0077159C">
        <w:rPr>
          <w:highlight w:val="yellow"/>
        </w:rPr>
        <w:t xml:space="preserve"> </w:t>
      </w:r>
    </w:p>
    <w:p w:rsidR="000D75EF" w:rsidRPr="0077159C" w:rsidRDefault="00F44075" w:rsidP="001A3391">
      <w:pPr>
        <w:pStyle w:val="Caption"/>
      </w:pPr>
      <w:bookmarkStart w:id="21" w:name="_Toc384913196"/>
      <w:r>
        <w:t xml:space="preserve">Table </w:t>
      </w:r>
      <w:r w:rsidR="006F409E">
        <w:fldChar w:fldCharType="begin"/>
      </w:r>
      <w:r w:rsidR="00231A62">
        <w:instrText xml:space="preserve"> SEQ Table \* ARABIC </w:instrText>
      </w:r>
      <w:r w:rsidR="006F409E">
        <w:fldChar w:fldCharType="separate"/>
      </w:r>
      <w:r w:rsidR="003322A7">
        <w:rPr>
          <w:noProof/>
        </w:rPr>
        <w:t>4</w:t>
      </w:r>
      <w:r w:rsidR="006F409E">
        <w:rPr>
          <w:noProof/>
        </w:rPr>
        <w:fldChar w:fldCharType="end"/>
      </w:r>
      <w:r w:rsidRPr="00C252D4">
        <w:rPr>
          <w:noProof/>
        </w:rPr>
        <w:t>: In Service Rate</w:t>
      </w:r>
      <w:bookmarkEnd w:id="2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62"/>
        <w:gridCol w:w="1351"/>
        <w:gridCol w:w="1406"/>
        <w:gridCol w:w="1484"/>
        <w:gridCol w:w="1506"/>
      </w:tblGrid>
      <w:tr w:rsidR="000F69A2" w:rsidRPr="0077159C" w:rsidTr="000F69A2">
        <w:trPr>
          <w:jc w:val="center"/>
        </w:trPr>
        <w:tc>
          <w:tcPr>
            <w:tcW w:w="0" w:type="auto"/>
          </w:tcPr>
          <w:p w:rsidR="000F69A2" w:rsidRPr="0077159C" w:rsidRDefault="000F69A2" w:rsidP="003401CC">
            <w:r w:rsidRPr="0077159C">
              <w:t xml:space="preserve">Building type </w:t>
            </w:r>
          </w:p>
        </w:tc>
        <w:tc>
          <w:tcPr>
            <w:tcW w:w="0" w:type="auto"/>
          </w:tcPr>
          <w:p w:rsidR="000F69A2" w:rsidRPr="0077159C" w:rsidRDefault="000F69A2" w:rsidP="003401CC">
            <w:r w:rsidRPr="0077159C">
              <w:t xml:space="preserve">Bldg Vintage </w:t>
            </w:r>
          </w:p>
        </w:tc>
        <w:tc>
          <w:tcPr>
            <w:tcW w:w="0" w:type="auto"/>
          </w:tcPr>
          <w:p w:rsidR="000F69A2" w:rsidRPr="0077159C" w:rsidRDefault="000F69A2" w:rsidP="003401CC">
            <w:r w:rsidRPr="0077159C">
              <w:t xml:space="preserve">Climate Zone </w:t>
            </w:r>
          </w:p>
        </w:tc>
        <w:tc>
          <w:tcPr>
            <w:tcW w:w="0" w:type="auto"/>
          </w:tcPr>
          <w:p w:rsidR="000F69A2" w:rsidRPr="0077159C" w:rsidRDefault="000F69A2" w:rsidP="003401CC">
            <w:r w:rsidRPr="0077159C">
              <w:t>In-service rate</w:t>
            </w:r>
          </w:p>
        </w:tc>
        <w:tc>
          <w:tcPr>
            <w:tcW w:w="0" w:type="auto"/>
          </w:tcPr>
          <w:p w:rsidR="000F69A2" w:rsidRPr="0077159C" w:rsidRDefault="000F69A2" w:rsidP="003401CC">
            <w:r w:rsidRPr="0077159C">
              <w:t>DEER Version</w:t>
            </w:r>
          </w:p>
        </w:tc>
      </w:tr>
      <w:tr w:rsidR="000F69A2" w:rsidRPr="0077159C" w:rsidTr="000F69A2">
        <w:trPr>
          <w:jc w:val="center"/>
        </w:trPr>
        <w:tc>
          <w:tcPr>
            <w:tcW w:w="0" w:type="auto"/>
          </w:tcPr>
          <w:p w:rsidR="000F69A2" w:rsidRPr="0077159C" w:rsidRDefault="000F69A2" w:rsidP="003401CC">
            <w:r>
              <w:t>ALL</w:t>
            </w:r>
          </w:p>
        </w:tc>
        <w:tc>
          <w:tcPr>
            <w:tcW w:w="0" w:type="auto"/>
          </w:tcPr>
          <w:p w:rsidR="000F69A2" w:rsidRPr="0077159C" w:rsidRDefault="000F69A2" w:rsidP="003401CC">
            <w:r w:rsidRPr="0077159C">
              <w:t>AV</w:t>
            </w:r>
          </w:p>
        </w:tc>
        <w:tc>
          <w:tcPr>
            <w:tcW w:w="0" w:type="auto"/>
          </w:tcPr>
          <w:p w:rsidR="000F69A2" w:rsidRPr="0077159C" w:rsidRDefault="000F69A2" w:rsidP="003401CC">
            <w:r>
              <w:t>ALL</w:t>
            </w:r>
          </w:p>
        </w:tc>
        <w:tc>
          <w:tcPr>
            <w:tcW w:w="0" w:type="auto"/>
          </w:tcPr>
          <w:p w:rsidR="000F69A2" w:rsidRPr="0077159C" w:rsidRDefault="000F69A2" w:rsidP="003401CC">
            <w:r w:rsidRPr="0077159C">
              <w:t>1</w:t>
            </w:r>
          </w:p>
        </w:tc>
        <w:tc>
          <w:tcPr>
            <w:tcW w:w="0" w:type="auto"/>
          </w:tcPr>
          <w:p w:rsidR="000F69A2" w:rsidRPr="0077159C" w:rsidRDefault="000F69A2" w:rsidP="003401CC">
            <w:r w:rsidRPr="0077159C">
              <w:t>DEER201</w:t>
            </w:r>
            <w:r w:rsidR="00E54C3C">
              <w:t>7</w:t>
            </w:r>
          </w:p>
        </w:tc>
      </w:tr>
    </w:tbl>
    <w:p w:rsidR="00EF2DDB" w:rsidRDefault="00EF2DDB" w:rsidP="00EF2DDB">
      <w:pPr>
        <w:rPr>
          <w:rStyle w:val="Strong"/>
        </w:rPr>
      </w:pPr>
    </w:p>
    <w:p w:rsidR="001C644E" w:rsidRDefault="001C644E" w:rsidP="00E97D72">
      <w:pPr>
        <w:pStyle w:val="WPART"/>
      </w:pPr>
      <w:bookmarkStart w:id="22" w:name="_Toc214003089"/>
      <w:bookmarkStart w:id="23" w:name="_Toc357762659"/>
      <w:r w:rsidRPr="001248A3">
        <w:t xml:space="preserve">Net-to-Gross </w:t>
      </w:r>
      <w:r>
        <w:t>Ratios</w:t>
      </w:r>
      <w:r w:rsidRPr="001248A3">
        <w:t xml:space="preserve"> for Different Program </w:t>
      </w:r>
      <w:r>
        <w:t>Strategies</w:t>
      </w:r>
      <w:bookmarkEnd w:id="22"/>
      <w:bookmarkEnd w:id="23"/>
    </w:p>
    <w:p w:rsidR="00364B2C" w:rsidRDefault="00697596" w:rsidP="00364B2C">
      <w:pPr>
        <w:pStyle w:val="PR1"/>
      </w:pPr>
      <w:r w:rsidRPr="005448CA">
        <w:t xml:space="preserve">The </w:t>
      </w:r>
      <w:r w:rsidR="00E54C3C">
        <w:t xml:space="preserve">NTG ratio was based on </w:t>
      </w:r>
      <w:r w:rsidR="008116B0">
        <w:t xml:space="preserve">support tables supplied within </w:t>
      </w:r>
      <w:r w:rsidR="00E54C3C">
        <w:t xml:space="preserve">DEER </w:t>
      </w:r>
      <w:r w:rsidR="008116B0">
        <w:t>READI v.2.4.7</w:t>
      </w:r>
      <w:r w:rsidR="00056DD3">
        <w:t>.</w:t>
      </w:r>
      <w:r w:rsidR="00364B2C" w:rsidRPr="0077159C">
        <w:t xml:space="preserve"> </w:t>
      </w:r>
    </w:p>
    <w:p w:rsidR="00743FA7" w:rsidRDefault="00743FA7" w:rsidP="00364B2C">
      <w:pPr>
        <w:pStyle w:val="PR1"/>
      </w:pPr>
      <w:r>
        <w:lastRenderedPageBreak/>
        <w:t>The N</w:t>
      </w:r>
      <w:r w:rsidR="009E79D3">
        <w:t>T</w:t>
      </w:r>
      <w:r>
        <w:t xml:space="preserve">G ratio for </w:t>
      </w:r>
      <w:r w:rsidR="008116B0">
        <w:t xml:space="preserve">all furnaces having an AFUE </w:t>
      </w:r>
      <w:r w:rsidR="008116B0">
        <w:rPr>
          <w:rFonts w:cs="Arial"/>
        </w:rPr>
        <w:t>≥</w:t>
      </w:r>
      <w:r w:rsidR="008116B0">
        <w:t xml:space="preserve">92% fall </w:t>
      </w:r>
      <w:r>
        <w:t xml:space="preserve">under </w:t>
      </w:r>
      <w:r w:rsidR="009E79D3">
        <w:t xml:space="preserve">the program approach </w:t>
      </w:r>
      <w:r w:rsidR="008116B0">
        <w:t>“</w:t>
      </w:r>
      <w:r w:rsidR="009E79D3">
        <w:t>a</w:t>
      </w:r>
      <w:r w:rsidR="009E79D3" w:rsidRPr="0077159C">
        <w:t>ll other EEM with no evaluated NTGR; existing EEM with same delivery mechanism for more than 2 years</w:t>
      </w:r>
      <w:r w:rsidR="009E79D3">
        <w:t xml:space="preserve"> with a NTG ratio of 0.55.</w:t>
      </w:r>
      <w:r w:rsidR="008116B0">
        <w:t>"</w:t>
      </w:r>
    </w:p>
    <w:p w:rsidR="00F34420" w:rsidRDefault="00F34420" w:rsidP="008116B0">
      <w:pPr>
        <w:pStyle w:val="PR2"/>
        <w:numPr>
          <w:ilvl w:val="0"/>
          <w:numId w:val="0"/>
        </w:numPr>
      </w:pPr>
    </w:p>
    <w:p w:rsidR="001C644E" w:rsidRDefault="001C644E" w:rsidP="00E97D72">
      <w:pPr>
        <w:pStyle w:val="WPART"/>
      </w:pPr>
      <w:bookmarkStart w:id="24" w:name="_Toc357762660"/>
      <w:r w:rsidRPr="009E3B25">
        <w:t>Gross Realization Rate</w:t>
      </w:r>
      <w:bookmarkEnd w:id="24"/>
    </w:p>
    <w:p w:rsidR="001C538E" w:rsidRDefault="001C538E" w:rsidP="001C538E">
      <w:pPr>
        <w:pStyle w:val="WPPR1"/>
      </w:pPr>
      <w:r w:rsidRPr="005448CA">
        <w:t xml:space="preserve">Gross realization rate of 1.00 is applied to the measures in this document.  </w:t>
      </w:r>
    </w:p>
    <w:p w:rsidR="000E4EE0" w:rsidRDefault="000E4EE0" w:rsidP="000E4EE0">
      <w:pPr>
        <w:pStyle w:val="ART"/>
      </w:pPr>
      <w:r>
        <w:t>EM&amp;V, mARKET POTENTIAL, AND OTHER STUDIES</w:t>
      </w:r>
    </w:p>
    <w:p w:rsidR="001C538E" w:rsidRPr="009E3B25" w:rsidRDefault="00631942" w:rsidP="000E4EE0">
      <w:pPr>
        <w:pStyle w:val="PR1"/>
      </w:pPr>
      <w:r>
        <w:t xml:space="preserve">There </w:t>
      </w:r>
      <w:r w:rsidR="000E4EE0" w:rsidRPr="000E4EE0">
        <w:t>are no EM&amp;V studies identified that address residential furnaces</w:t>
      </w:r>
      <w:r w:rsidR="000E4EE0">
        <w:t>. H</w:t>
      </w:r>
      <w:r w:rsidR="000E4EE0" w:rsidRPr="000E4EE0">
        <w:t>owever</w:t>
      </w:r>
      <w:r w:rsidR="000E4EE0">
        <w:t>, there is a report entitled</w:t>
      </w:r>
      <w:r w:rsidR="000E4EE0" w:rsidRPr="000E4EE0">
        <w:t xml:space="preserve"> “California Residential Efficiency Market Share Tracking, HVAC 2005”, prepared by Itron and completed on December 2005, that address</w:t>
      </w:r>
      <w:r w:rsidR="000E4EE0">
        <w:t>es</w:t>
      </w:r>
      <w:r w:rsidR="000E4EE0" w:rsidRPr="000E4EE0">
        <w:t xml:space="preserve"> the average annual AFUE ratings of central gas furnaces, which ranges from 81.0 to 82.6, during the study period.  This study also tracks the market share of Energy Star qualified units sold in California</w:t>
      </w:r>
    </w:p>
    <w:p w:rsidR="001C644E" w:rsidRDefault="001C644E" w:rsidP="003F2BB3">
      <w:pPr>
        <w:pStyle w:val="WPSCT"/>
      </w:pPr>
      <w:bookmarkStart w:id="25" w:name="_Toc214003090"/>
      <w:bookmarkStart w:id="26" w:name="_Toc357762661"/>
      <w:r>
        <w:t>Energy Savings &amp; Demand Reduction Calculations</w:t>
      </w:r>
      <w:bookmarkEnd w:id="25"/>
      <w:bookmarkEnd w:id="26"/>
    </w:p>
    <w:p w:rsidR="001C644E" w:rsidRDefault="001C644E" w:rsidP="003F2BB3">
      <w:pPr>
        <w:pStyle w:val="WPART"/>
      </w:pPr>
      <w:bookmarkStart w:id="27" w:name="_Toc214003093"/>
      <w:r>
        <w:t xml:space="preserve"> </w:t>
      </w:r>
      <w:bookmarkStart w:id="28" w:name="_Toc357762662"/>
      <w:r>
        <w:t>Load Shape</w:t>
      </w:r>
      <w:bookmarkEnd w:id="27"/>
      <w:r>
        <w:t>s</w:t>
      </w:r>
      <w:bookmarkEnd w:id="28"/>
    </w:p>
    <w:p w:rsidR="001C538E" w:rsidRPr="005448CA" w:rsidRDefault="001C538E" w:rsidP="001C538E">
      <w:pPr>
        <w:pStyle w:val="WPPR1"/>
      </w:pPr>
      <w:r>
        <w:t>N/A</w:t>
      </w:r>
    </w:p>
    <w:p w:rsidR="006D042A" w:rsidRDefault="006D042A" w:rsidP="006D042A">
      <w:pPr>
        <w:pStyle w:val="WPART"/>
      </w:pPr>
      <w:bookmarkStart w:id="29" w:name="_Toc357762663"/>
      <w:bookmarkStart w:id="30" w:name="_Toc214003096"/>
      <w:r>
        <w:t>Energy Savings</w:t>
      </w:r>
      <w:bookmarkEnd w:id="29"/>
    </w:p>
    <w:p w:rsidR="001C538E" w:rsidRDefault="001C538E" w:rsidP="001C538E">
      <w:pPr>
        <w:pStyle w:val="WPPR1"/>
      </w:pPr>
      <w:r>
        <w:t>Annual G</w:t>
      </w:r>
      <w:r w:rsidR="000A4898">
        <w:t>as Energy Savings</w:t>
      </w:r>
      <w:r>
        <w:t xml:space="preserve">  </w:t>
      </w:r>
    </w:p>
    <w:p w:rsidR="009E4C2C" w:rsidRDefault="009E4C2C" w:rsidP="004853CA">
      <w:pPr>
        <w:pStyle w:val="PR2"/>
      </w:pPr>
      <w:r w:rsidRPr="0077159C">
        <w:t>Th</w:t>
      </w:r>
      <w:r>
        <w:t>is mea</w:t>
      </w:r>
      <w:r w:rsidR="00E54C3C">
        <w:t>sure is located in the DEER 2017</w:t>
      </w:r>
      <w:r w:rsidR="005A7272">
        <w:t xml:space="preserve"> database</w:t>
      </w:r>
      <w:r w:rsidRPr="0077159C">
        <w:t>;</w:t>
      </w:r>
      <w:r>
        <w:t xml:space="preserve"> gas impact savings were extracted from the READI tool and are used for these measures.</w:t>
      </w:r>
    </w:p>
    <w:p w:rsidR="009E4C2C" w:rsidRDefault="00E54C3C" w:rsidP="009E4C2C">
      <w:pPr>
        <w:pStyle w:val="PR2"/>
      </w:pPr>
      <w:r>
        <w:t>The 2017</w:t>
      </w:r>
      <w:r w:rsidR="009E4C2C" w:rsidRPr="001E5DFB">
        <w:t xml:space="preserve"> Database for Energy Efficient Resources </w:t>
      </w:r>
      <w:r>
        <w:t>(DEER2017</w:t>
      </w:r>
      <w:r w:rsidR="00BD7869" w:rsidRPr="0077159C">
        <w:t>)</w:t>
      </w:r>
      <w:r w:rsidR="002C1B74">
        <w:t xml:space="preserve"> v2.4.7</w:t>
      </w:r>
      <w:r w:rsidR="009E4C2C" w:rsidRPr="001E5DFB">
        <w:t xml:space="preserve"> </w:t>
      </w:r>
      <w:r w:rsidR="005A7272">
        <w:t xml:space="preserve">[3] </w:t>
      </w:r>
      <w:r w:rsidR="009E4C2C" w:rsidRPr="001E5DFB">
        <w:t>data include: gas energy savings for th</w:t>
      </w:r>
      <w:r w:rsidR="009E4C2C">
        <w:t>e</w:t>
      </w:r>
      <w:r w:rsidR="009E4C2C" w:rsidRPr="001E5DFB">
        <w:t>s</w:t>
      </w:r>
      <w:r w:rsidR="009E4C2C">
        <w:t>e</w:t>
      </w:r>
      <w:r w:rsidR="009E4C2C" w:rsidRPr="001E5DFB">
        <w:t xml:space="preserve"> measure</w:t>
      </w:r>
      <w:r w:rsidR="009E4C2C">
        <w:t>s</w:t>
      </w:r>
      <w:r w:rsidR="009E4C2C" w:rsidRPr="001E5DFB">
        <w:t xml:space="preserve"> </w:t>
      </w:r>
      <w:r w:rsidR="00761DEE" w:rsidRPr="001E5DFB">
        <w:t>(Res-GasFurnace-AFUE9</w:t>
      </w:r>
      <w:r w:rsidR="00761DEE">
        <w:t xml:space="preserve">2, </w:t>
      </w:r>
      <w:r w:rsidR="009E4C2C" w:rsidRPr="001E5DFB">
        <w:t>Res-GasFurnace-AFUE95</w:t>
      </w:r>
      <w:r w:rsidR="001E3570">
        <w:t xml:space="preserve">, </w:t>
      </w:r>
      <w:r w:rsidR="001E3570" w:rsidRPr="001E5DFB">
        <w:t>Res-GasFurnace-AFUE9</w:t>
      </w:r>
      <w:r w:rsidR="001E3570">
        <w:t>6,</w:t>
      </w:r>
      <w:r w:rsidR="009E4C2C">
        <w:t xml:space="preserve"> and Res-GasFurnace-AFUE9</w:t>
      </w:r>
      <w:r w:rsidR="00761DEE">
        <w:t>7</w:t>
      </w:r>
      <w:r w:rsidR="009E4C2C">
        <w:t xml:space="preserve">). </w:t>
      </w:r>
      <w:r w:rsidR="009E4C2C" w:rsidRPr="001E5DFB">
        <w:t>Gas impact savings for th</w:t>
      </w:r>
      <w:r w:rsidR="009E4C2C">
        <w:t>e</w:t>
      </w:r>
      <w:r w:rsidR="009E4C2C" w:rsidRPr="001E5DFB">
        <w:t>s</w:t>
      </w:r>
      <w:r w:rsidR="009E4C2C">
        <w:t>e</w:t>
      </w:r>
      <w:r w:rsidR="009E4C2C" w:rsidRPr="001E5DFB">
        <w:t xml:space="preserve"> measure</w:t>
      </w:r>
      <w:r w:rsidR="009E4C2C">
        <w:t>s</w:t>
      </w:r>
      <w:r w:rsidR="009E4C2C" w:rsidRPr="001E5DFB">
        <w:t xml:space="preserve"> w</w:t>
      </w:r>
      <w:r w:rsidR="009E4C2C">
        <w:t>ere</w:t>
      </w:r>
      <w:r w:rsidR="009E4C2C" w:rsidRPr="001E5DFB">
        <w:t xml:space="preserve"> pulled directly from the DEER READI tool</w:t>
      </w:r>
      <w:r w:rsidR="00761DEE">
        <w:t xml:space="preserve"> for each climate zone </w:t>
      </w:r>
      <w:r w:rsidR="005820A9">
        <w:t xml:space="preserve">and IOU that serves gas customers within California. </w:t>
      </w:r>
      <w:r w:rsidR="00801524">
        <w:t>The</w:t>
      </w:r>
      <w:r w:rsidR="005820A9">
        <w:t xml:space="preserve"> breakout </w:t>
      </w:r>
      <w:r w:rsidR="00801524">
        <w:t xml:space="preserve">by IOU </w:t>
      </w:r>
      <w:r w:rsidR="005820A9">
        <w:t>was made because DEER shows different savings values by IOU in the same climate zone</w:t>
      </w:r>
      <w:r w:rsidR="009E4C2C" w:rsidRPr="001E5DFB">
        <w:t>; see “</w:t>
      </w:r>
      <w:r w:rsidR="002C1B74">
        <w:t>Measure Summary table and Savings Calculations</w:t>
      </w:r>
      <w:r w:rsidR="009E4C2C" w:rsidRPr="001E5DFB">
        <w:t>”</w:t>
      </w:r>
      <w:r w:rsidR="009E4C2C">
        <w:t xml:space="preserve"> </w:t>
      </w:r>
      <w:r w:rsidR="009E4C2C" w:rsidRPr="001E5DFB">
        <w:t xml:space="preserve">spreadsheet for </w:t>
      </w:r>
      <w:r w:rsidR="009E4C2C">
        <w:t xml:space="preserve">the </w:t>
      </w:r>
      <w:r w:rsidR="009E4C2C" w:rsidRPr="001E5DFB">
        <w:t>range of savings</w:t>
      </w:r>
      <w:r w:rsidR="00761DEE">
        <w:t xml:space="preserve">. </w:t>
      </w:r>
    </w:p>
    <w:p w:rsidR="002B0D3A" w:rsidRDefault="002B0D3A" w:rsidP="009E4C2C">
      <w:pPr>
        <w:pStyle w:val="PR2"/>
      </w:pPr>
      <w:r>
        <w:t>Annual therm savings for this measure has been calculated in therms per unit (furnace), rather than therms per kBTUh. This change in gas savings measurements allows for an incentive based on th</w:t>
      </w:r>
      <w:r w:rsidR="00D17CA5">
        <w:t>e entire unit installed per</w:t>
      </w:r>
      <w:r>
        <w:t xml:space="preserve"> AFUE</w:t>
      </w:r>
      <w:r w:rsidR="00D17CA5">
        <w:t>%</w:t>
      </w:r>
      <w:r>
        <w:t>, as opposed to an incentive based on manufacturer rated gas input.</w:t>
      </w:r>
    </w:p>
    <w:p w:rsidR="00EF2DDB" w:rsidRPr="0077159C" w:rsidRDefault="00EF2DDB" w:rsidP="00EF2DDB"/>
    <w:p w:rsidR="001C644E" w:rsidRDefault="001C644E" w:rsidP="003F2BB3">
      <w:pPr>
        <w:pStyle w:val="WPSCT"/>
      </w:pPr>
      <w:bookmarkStart w:id="31" w:name="_Toc357762664"/>
      <w:r>
        <w:t>Base Case &amp; Measure Costs</w:t>
      </w:r>
      <w:bookmarkEnd w:id="30"/>
      <w:bookmarkEnd w:id="31"/>
    </w:p>
    <w:p w:rsidR="001C644E" w:rsidRDefault="001C644E" w:rsidP="003F2BB3">
      <w:pPr>
        <w:pStyle w:val="WPART"/>
      </w:pPr>
      <w:bookmarkStart w:id="32" w:name="_Toc214003097"/>
      <w:bookmarkStart w:id="33" w:name="_Toc357762665"/>
      <w:r>
        <w:t>Base Case Cost</w:t>
      </w:r>
      <w:bookmarkEnd w:id="32"/>
      <w:bookmarkEnd w:id="33"/>
    </w:p>
    <w:p w:rsidR="006F0B63" w:rsidRDefault="006F0B63" w:rsidP="006F0B63">
      <w:pPr>
        <w:pStyle w:val="PR1"/>
      </w:pPr>
      <w:r>
        <w:t>When the customer is replacing equipment on burnout (</w:t>
      </w:r>
      <w:r w:rsidRPr="001E027B">
        <w:t>ROB)</w:t>
      </w:r>
      <w:r>
        <w:t xml:space="preserve"> or buying new equipment (N</w:t>
      </w:r>
      <w:r w:rsidR="0083700D">
        <w:t>C</w:t>
      </w:r>
      <w:r>
        <w:t>)</w:t>
      </w:r>
      <w:r w:rsidRPr="001E027B">
        <w:t xml:space="preserve">, the customer must buy a new </w:t>
      </w:r>
      <w:r>
        <w:t>furnace</w:t>
      </w:r>
      <w:r w:rsidRPr="001E027B">
        <w:t xml:space="preserve"> to continue operating, so the base </w:t>
      </w:r>
      <w:r>
        <w:t>case</w:t>
      </w:r>
      <w:r w:rsidRPr="001E027B">
        <w:t xml:space="preserve"> cost is that of a baseline (standard) </w:t>
      </w:r>
      <w:r>
        <w:t xml:space="preserve">furnace (not the existing </w:t>
      </w:r>
      <w:r w:rsidR="00F95963">
        <w:t>furnace</w:t>
      </w:r>
      <w:r>
        <w:t>)</w:t>
      </w:r>
      <w:r w:rsidRPr="001E027B">
        <w:t xml:space="preserve">. </w:t>
      </w:r>
      <w:r>
        <w:t>The baseline furnace is an 80% AFUE furnace</w:t>
      </w:r>
      <w:r w:rsidR="0098559E">
        <w:t xml:space="preserve"> due to the market saturation of these furnaces</w:t>
      </w:r>
      <w:r>
        <w:t xml:space="preserve">.  </w:t>
      </w:r>
    </w:p>
    <w:p w:rsidR="006F0B63" w:rsidRDefault="006F0B63" w:rsidP="006F0B63">
      <w:pPr>
        <w:pStyle w:val="PR1"/>
      </w:pPr>
      <w:r>
        <w:t xml:space="preserve">The base case cost is shown in Table </w:t>
      </w:r>
      <w:r w:rsidR="001B5319">
        <w:t>7</w:t>
      </w:r>
      <w:r>
        <w:t xml:space="preserve"> below.  </w:t>
      </w:r>
    </w:p>
    <w:p w:rsidR="006F0B63" w:rsidRDefault="006F0B63" w:rsidP="006F0B63">
      <w:pPr>
        <w:pStyle w:val="WPPR2"/>
      </w:pPr>
      <w:r>
        <w:lastRenderedPageBreak/>
        <w:t xml:space="preserve">The table lists the results of a </w:t>
      </w:r>
      <w:r w:rsidRPr="00CC2314">
        <w:t>survey of equipment vendors that</w:t>
      </w:r>
      <w:r w:rsidR="00AD3379">
        <w:t xml:space="preserve"> sell</w:t>
      </w:r>
      <w:r w:rsidRPr="00CC2314">
        <w:t xml:space="preserve"> </w:t>
      </w:r>
      <w:r>
        <w:t>residential gas furnaces. The table provides the average base case cost per kBtu</w:t>
      </w:r>
      <w:r w:rsidR="00FC140F">
        <w:t>h</w:t>
      </w:r>
      <w:r>
        <w:t xml:space="preserve"> for each furnace efficiency.  </w:t>
      </w:r>
    </w:p>
    <w:p w:rsidR="006F0B63" w:rsidRDefault="006F0B63" w:rsidP="006F0B63">
      <w:pPr>
        <w:pStyle w:val="WPPR2"/>
      </w:pPr>
      <w:r>
        <w:t xml:space="preserve">The burner input capacity of these units </w:t>
      </w:r>
      <w:r w:rsidRPr="004D5C7C">
        <w:t xml:space="preserve">ranged from </w:t>
      </w:r>
      <w:r>
        <w:t>38</w:t>
      </w:r>
      <w:r w:rsidRPr="00C97F13">
        <w:t xml:space="preserve"> to </w:t>
      </w:r>
      <w:r>
        <w:t xml:space="preserve">140 kBtuh.  </w:t>
      </w:r>
    </w:p>
    <w:p w:rsidR="006F0B63" w:rsidRDefault="006F0B63" w:rsidP="006F0B63">
      <w:pPr>
        <w:pStyle w:val="PR2"/>
      </w:pPr>
      <w:r w:rsidRPr="00785F98">
        <w:t xml:space="preserve">The </w:t>
      </w:r>
      <w:r>
        <w:t>base measure</w:t>
      </w:r>
      <w:r w:rsidRPr="00785F98">
        <w:t xml:space="preserve"> cost</w:t>
      </w:r>
      <w:r>
        <w:t>s</w:t>
      </w:r>
      <w:r w:rsidRPr="00785F98">
        <w:t xml:space="preserve"> shown in Table</w:t>
      </w:r>
      <w:r>
        <w:t xml:space="preserve"> </w:t>
      </w:r>
      <w:r w:rsidR="001B5319">
        <w:t>6</w:t>
      </w:r>
      <w:r w:rsidRPr="00785F98">
        <w:t xml:space="preserve"> represent a</w:t>
      </w:r>
      <w:r>
        <w:t xml:space="preserve">n </w:t>
      </w:r>
      <w:r w:rsidRPr="00785F98">
        <w:t xml:space="preserve">arithmetic average of the </w:t>
      </w:r>
      <w:r>
        <w:t xml:space="preserve">corresponding </w:t>
      </w:r>
      <w:r w:rsidRPr="00785F98">
        <w:t xml:space="preserve">equipment cost. </w:t>
      </w:r>
      <w:r>
        <w:t xml:space="preserve"> </w:t>
      </w:r>
      <w:r w:rsidRPr="008F6C15">
        <w:t xml:space="preserve">The </w:t>
      </w:r>
      <w:r>
        <w:t xml:space="preserve">cost </w:t>
      </w:r>
      <w:r w:rsidRPr="008F6C15">
        <w:t xml:space="preserve">data </w:t>
      </w:r>
      <w:r>
        <w:t xml:space="preserve">and calculations </w:t>
      </w:r>
      <w:r w:rsidRPr="008F6C15">
        <w:t xml:space="preserve">are included in </w:t>
      </w:r>
      <w:r>
        <w:t xml:space="preserve">an Excel </w:t>
      </w:r>
      <w:r w:rsidR="00F14B20">
        <w:t>file embedded as Attachment B</w:t>
      </w:r>
      <w:r>
        <w:t>, “</w:t>
      </w:r>
      <w:r w:rsidR="00E96475">
        <w:t>WPSCGREHC130115A_</w:t>
      </w:r>
      <w:r w:rsidR="000D6A7B">
        <w:t>r</w:t>
      </w:r>
      <w:r w:rsidR="00E96475">
        <w:t>ev</w:t>
      </w:r>
      <w:r w:rsidR="000D6A7B">
        <w:t>3</w:t>
      </w:r>
      <w:r w:rsidRPr="006F0B63">
        <w:t>_cost_data.xlsx</w:t>
      </w:r>
      <w:r w:rsidRPr="008F6C15">
        <w:t>.</w:t>
      </w:r>
      <w:r w:rsidR="0098559E">
        <w:t>”</w:t>
      </w:r>
      <w:r w:rsidR="002B26A6">
        <w:t xml:space="preserve"> The equipment costs do not vary by climate zone because they were taken from a survey of national furnace vendors.</w:t>
      </w:r>
    </w:p>
    <w:p w:rsidR="00801524" w:rsidRDefault="00D16692" w:rsidP="006F0B63">
      <w:pPr>
        <w:pStyle w:val="PR2"/>
      </w:pPr>
      <w:r>
        <w:t>D</w:t>
      </w:r>
      <w:r w:rsidRPr="0077159C">
        <w:t>ata from DEER</w:t>
      </w:r>
      <w:r w:rsidR="00AD3379">
        <w:t xml:space="preserve"> </w:t>
      </w:r>
      <w:r>
        <w:t>2008 v2.05</w:t>
      </w:r>
      <w:r w:rsidRPr="0077159C">
        <w:t xml:space="preserve"> </w:t>
      </w:r>
      <w:r>
        <w:t xml:space="preserve">[4] </w:t>
      </w:r>
      <w:r w:rsidRPr="0077159C">
        <w:t>was used to estimate the</w:t>
      </w:r>
      <w:r>
        <w:t xml:space="preserve"> installation </w:t>
      </w:r>
      <w:r w:rsidR="00877B4F">
        <w:t xml:space="preserve">labor </w:t>
      </w:r>
      <w:r>
        <w:t>costs</w:t>
      </w:r>
      <w:r w:rsidR="00877B4F">
        <w:t>. The installation cost per kBtuh in the DEER</w:t>
      </w:r>
      <w:r w:rsidR="00AD3379">
        <w:t xml:space="preserve"> </w:t>
      </w:r>
      <w:r w:rsidR="00877B4F">
        <w:t>2008 2.05 database is the same regardless of the measure case efficiency. C</w:t>
      </w:r>
      <w:r>
        <w:t>ost case ID</w:t>
      </w:r>
      <w:r w:rsidR="00877B4F">
        <w:t>s</w:t>
      </w:r>
      <w:r>
        <w:t xml:space="preserve"> EffFurn-78AFUE</w:t>
      </w:r>
      <w:r w:rsidR="00877B4F">
        <w:t>, EffFurn-cond-94AFUE, EffFurn-cond-96AFUE all show an installation labor cost of $5.84/kBtuh</w:t>
      </w:r>
      <w:r>
        <w:t>.</w:t>
      </w:r>
    </w:p>
    <w:p w:rsidR="00C13DF9" w:rsidRDefault="00C13DF9" w:rsidP="006F0B63">
      <w:pPr>
        <w:pStyle w:val="PR2"/>
      </w:pPr>
      <w:r>
        <w:t xml:space="preserve">The measure costs are converted to $/furnace according to the typical furnace size for different building types: 63.9 kBtuh for single family, 32.1 kBtuh for multi-family, and 55 kBtuh for mobiles homes. </w:t>
      </w:r>
    </w:p>
    <w:p w:rsidR="00D16692" w:rsidRDefault="002B26A6" w:rsidP="006F0B63">
      <w:pPr>
        <w:pStyle w:val="PR2"/>
      </w:pPr>
      <w:bookmarkStart w:id="34" w:name="OLE_LINK1"/>
      <w:bookmarkStart w:id="35" w:name="OLE_LINK2"/>
      <w:r>
        <w:t>Although DEER includes installation cost multipliers by climate zone, these were not applied to the installation cost because the installation cost multipliers are irrelevant when determining the incremental measure cost. The installation cost is the same for a base case or measure case furnace.</w:t>
      </w:r>
      <w:bookmarkEnd w:id="34"/>
      <w:bookmarkEnd w:id="35"/>
    </w:p>
    <w:p w:rsidR="00D860D4" w:rsidRDefault="00D860D4" w:rsidP="00D860D4">
      <w:pPr>
        <w:rPr>
          <w:b/>
          <w:bCs/>
        </w:rPr>
      </w:pPr>
    </w:p>
    <w:p w:rsidR="00E96475" w:rsidRDefault="00E96475" w:rsidP="001A3391">
      <w:pPr>
        <w:pStyle w:val="Caption"/>
      </w:pPr>
      <w:bookmarkStart w:id="36" w:name="_Toc384913198"/>
      <w:bookmarkStart w:id="37" w:name="_Toc327873665"/>
      <w:bookmarkStart w:id="38" w:name="_Toc355245887"/>
      <w:r>
        <w:t xml:space="preserve">Table </w:t>
      </w:r>
      <w:r w:rsidR="006F409E">
        <w:fldChar w:fldCharType="begin"/>
      </w:r>
      <w:r w:rsidR="00231A62">
        <w:instrText xml:space="preserve"> SEQ Table \* ARABIC </w:instrText>
      </w:r>
      <w:r w:rsidR="006F409E">
        <w:fldChar w:fldCharType="separate"/>
      </w:r>
      <w:r w:rsidR="003322A7">
        <w:rPr>
          <w:noProof/>
        </w:rPr>
        <w:t>6</w:t>
      </w:r>
      <w:r w:rsidR="006F409E">
        <w:rPr>
          <w:noProof/>
        </w:rPr>
        <w:fldChar w:fldCharType="end"/>
      </w:r>
      <w:r>
        <w:t xml:space="preserve">: </w:t>
      </w:r>
      <w:r w:rsidRPr="00760B34">
        <w:t>Base case and Measure case cost analysis, per kBtuh</w:t>
      </w:r>
      <w:bookmarkEnd w:id="36"/>
    </w:p>
    <w:tbl>
      <w:tblPr>
        <w:tblW w:w="4955" w:type="dxa"/>
        <w:jc w:val="center"/>
        <w:tblLook w:val="00A0" w:firstRow="1" w:lastRow="0" w:firstColumn="1" w:lastColumn="0" w:noHBand="0" w:noVBand="0"/>
      </w:tblPr>
      <w:tblGrid>
        <w:gridCol w:w="2435"/>
        <w:gridCol w:w="2520"/>
      </w:tblGrid>
      <w:tr w:rsidR="00D860D4" w:rsidRPr="0077159C" w:rsidTr="00AD6DBD">
        <w:trPr>
          <w:trHeight w:val="300"/>
          <w:jc w:val="center"/>
        </w:trPr>
        <w:tc>
          <w:tcPr>
            <w:tcW w:w="4955" w:type="dxa"/>
            <w:gridSpan w:val="2"/>
            <w:tcBorders>
              <w:top w:val="single" w:sz="4" w:space="0" w:color="auto"/>
              <w:left w:val="single" w:sz="4" w:space="0" w:color="auto"/>
              <w:bottom w:val="single" w:sz="4" w:space="0" w:color="auto"/>
              <w:right w:val="single" w:sz="4" w:space="0" w:color="auto"/>
            </w:tcBorders>
            <w:noWrap/>
            <w:vAlign w:val="bottom"/>
          </w:tcPr>
          <w:bookmarkEnd w:id="37"/>
          <w:bookmarkEnd w:id="38"/>
          <w:p w:rsidR="00D860D4" w:rsidRPr="00F52214" w:rsidRDefault="002A7D0E" w:rsidP="00801524">
            <w:pPr>
              <w:keepNext/>
              <w:rPr>
                <w:color w:val="000000"/>
              </w:rPr>
            </w:pPr>
            <w:r>
              <w:rPr>
                <w:color w:val="000000"/>
              </w:rPr>
              <w:t>Base case cost ($/k</w:t>
            </w:r>
            <w:r w:rsidR="00D860D4" w:rsidRPr="00F52214">
              <w:rPr>
                <w:color w:val="000000"/>
              </w:rPr>
              <w:t>Btuh)</w:t>
            </w:r>
          </w:p>
        </w:tc>
      </w:tr>
      <w:tr w:rsidR="00D860D4" w:rsidRPr="0077159C" w:rsidTr="00C36E4C">
        <w:trPr>
          <w:trHeight w:val="315"/>
          <w:jc w:val="center"/>
        </w:trPr>
        <w:tc>
          <w:tcPr>
            <w:tcW w:w="2435" w:type="dxa"/>
            <w:tcBorders>
              <w:top w:val="single" w:sz="4" w:space="0" w:color="auto"/>
              <w:left w:val="single" w:sz="8" w:space="0" w:color="auto"/>
              <w:bottom w:val="single" w:sz="8" w:space="0" w:color="auto"/>
              <w:right w:val="single" w:sz="4" w:space="0" w:color="auto"/>
            </w:tcBorders>
            <w:noWrap/>
            <w:vAlign w:val="bottom"/>
          </w:tcPr>
          <w:p w:rsidR="00D860D4" w:rsidRPr="00F52214" w:rsidRDefault="00D860D4" w:rsidP="00801524">
            <w:pPr>
              <w:keepNext/>
              <w:jc w:val="right"/>
              <w:rPr>
                <w:color w:val="000000"/>
              </w:rPr>
            </w:pPr>
            <w:r w:rsidRPr="00F52214">
              <w:rPr>
                <w:color w:val="000000"/>
              </w:rPr>
              <w:t>80%</w:t>
            </w:r>
          </w:p>
        </w:tc>
        <w:tc>
          <w:tcPr>
            <w:tcW w:w="2520" w:type="dxa"/>
            <w:tcBorders>
              <w:top w:val="single" w:sz="4" w:space="0" w:color="auto"/>
              <w:left w:val="nil"/>
              <w:bottom w:val="single" w:sz="8" w:space="0" w:color="auto"/>
              <w:right w:val="single" w:sz="8" w:space="0" w:color="auto"/>
            </w:tcBorders>
            <w:noWrap/>
            <w:vAlign w:val="bottom"/>
          </w:tcPr>
          <w:p w:rsidR="00D860D4" w:rsidRPr="00F52214" w:rsidRDefault="00D860D4" w:rsidP="00C36E4C">
            <w:pPr>
              <w:keepNext/>
              <w:jc w:val="right"/>
              <w:rPr>
                <w:color w:val="000000"/>
              </w:rPr>
            </w:pPr>
            <w:r w:rsidRPr="00F52214">
              <w:rPr>
                <w:color w:val="000000"/>
              </w:rPr>
              <w:t>$</w:t>
            </w:r>
            <w:r w:rsidR="0098559E">
              <w:rPr>
                <w:color w:val="000000"/>
              </w:rPr>
              <w:t>12.00</w:t>
            </w:r>
          </w:p>
        </w:tc>
      </w:tr>
      <w:tr w:rsidR="00C36E4C" w:rsidRPr="0077159C" w:rsidTr="00C36E4C">
        <w:trPr>
          <w:trHeight w:val="315"/>
          <w:jc w:val="center"/>
        </w:trPr>
        <w:tc>
          <w:tcPr>
            <w:tcW w:w="2435" w:type="dxa"/>
            <w:tcBorders>
              <w:top w:val="single" w:sz="8" w:space="0" w:color="auto"/>
              <w:left w:val="single" w:sz="8" w:space="0" w:color="auto"/>
              <w:bottom w:val="single" w:sz="8" w:space="0" w:color="auto"/>
              <w:right w:val="single" w:sz="4" w:space="0" w:color="auto"/>
            </w:tcBorders>
            <w:noWrap/>
            <w:vAlign w:val="bottom"/>
          </w:tcPr>
          <w:p w:rsidR="00C36E4C" w:rsidRPr="00F52214" w:rsidRDefault="00C36E4C" w:rsidP="00801524">
            <w:pPr>
              <w:keepNext/>
              <w:jc w:val="right"/>
              <w:rPr>
                <w:color w:val="000000"/>
              </w:rPr>
            </w:pPr>
            <w:r>
              <w:rPr>
                <w:color w:val="000000"/>
              </w:rPr>
              <w:t>92%</w:t>
            </w:r>
          </w:p>
        </w:tc>
        <w:tc>
          <w:tcPr>
            <w:tcW w:w="2520" w:type="dxa"/>
            <w:tcBorders>
              <w:top w:val="single" w:sz="8" w:space="0" w:color="auto"/>
              <w:left w:val="nil"/>
              <w:bottom w:val="single" w:sz="8" w:space="0" w:color="auto"/>
              <w:right w:val="single" w:sz="8" w:space="0" w:color="auto"/>
            </w:tcBorders>
            <w:noWrap/>
            <w:vAlign w:val="bottom"/>
          </w:tcPr>
          <w:p w:rsidR="00C36E4C" w:rsidRPr="00061371" w:rsidRDefault="00C36E4C" w:rsidP="00C36E4C">
            <w:pPr>
              <w:jc w:val="right"/>
            </w:pPr>
            <w:r w:rsidRPr="00061371">
              <w:t>$14.06</w:t>
            </w:r>
          </w:p>
        </w:tc>
      </w:tr>
      <w:tr w:rsidR="00C36E4C" w:rsidRPr="0077159C" w:rsidTr="00C36E4C">
        <w:trPr>
          <w:trHeight w:val="315"/>
          <w:jc w:val="center"/>
        </w:trPr>
        <w:tc>
          <w:tcPr>
            <w:tcW w:w="2435" w:type="dxa"/>
            <w:tcBorders>
              <w:top w:val="single" w:sz="8" w:space="0" w:color="auto"/>
              <w:left w:val="single" w:sz="8" w:space="0" w:color="auto"/>
              <w:bottom w:val="single" w:sz="8" w:space="0" w:color="auto"/>
              <w:right w:val="single" w:sz="4" w:space="0" w:color="auto"/>
            </w:tcBorders>
            <w:noWrap/>
            <w:vAlign w:val="bottom"/>
          </w:tcPr>
          <w:p w:rsidR="00C36E4C" w:rsidRPr="00F52214" w:rsidRDefault="00C36E4C" w:rsidP="00801524">
            <w:pPr>
              <w:keepNext/>
              <w:jc w:val="right"/>
              <w:rPr>
                <w:color w:val="000000"/>
              </w:rPr>
            </w:pPr>
            <w:r w:rsidRPr="00F52214">
              <w:rPr>
                <w:color w:val="000000"/>
              </w:rPr>
              <w:t>95%</w:t>
            </w:r>
          </w:p>
        </w:tc>
        <w:tc>
          <w:tcPr>
            <w:tcW w:w="2520" w:type="dxa"/>
            <w:tcBorders>
              <w:top w:val="single" w:sz="8" w:space="0" w:color="auto"/>
              <w:left w:val="nil"/>
              <w:bottom w:val="single" w:sz="8" w:space="0" w:color="auto"/>
              <w:right w:val="single" w:sz="8" w:space="0" w:color="auto"/>
            </w:tcBorders>
            <w:noWrap/>
            <w:vAlign w:val="bottom"/>
          </w:tcPr>
          <w:p w:rsidR="00C36E4C" w:rsidRPr="00061371" w:rsidRDefault="00C36E4C" w:rsidP="00C36E4C">
            <w:pPr>
              <w:jc w:val="right"/>
            </w:pPr>
            <w:r w:rsidRPr="00061371">
              <w:t>$18.91</w:t>
            </w:r>
          </w:p>
        </w:tc>
      </w:tr>
      <w:tr w:rsidR="00C36E4C" w:rsidRPr="0077159C" w:rsidTr="00C36E4C">
        <w:trPr>
          <w:trHeight w:val="315"/>
          <w:jc w:val="center"/>
        </w:trPr>
        <w:tc>
          <w:tcPr>
            <w:tcW w:w="2435" w:type="dxa"/>
            <w:tcBorders>
              <w:top w:val="single" w:sz="8" w:space="0" w:color="auto"/>
              <w:left w:val="single" w:sz="8" w:space="0" w:color="auto"/>
              <w:bottom w:val="single" w:sz="8" w:space="0" w:color="auto"/>
              <w:right w:val="single" w:sz="4" w:space="0" w:color="auto"/>
            </w:tcBorders>
            <w:noWrap/>
            <w:vAlign w:val="bottom"/>
          </w:tcPr>
          <w:p w:rsidR="00C36E4C" w:rsidRPr="00F52214" w:rsidRDefault="00C36E4C" w:rsidP="00801524">
            <w:pPr>
              <w:keepNext/>
              <w:jc w:val="right"/>
              <w:rPr>
                <w:color w:val="000000"/>
              </w:rPr>
            </w:pPr>
            <w:bookmarkStart w:id="39" w:name="_GoBack"/>
            <w:bookmarkEnd w:id="39"/>
            <w:r>
              <w:rPr>
                <w:color w:val="000000"/>
              </w:rPr>
              <w:t>96%</w:t>
            </w:r>
          </w:p>
        </w:tc>
        <w:tc>
          <w:tcPr>
            <w:tcW w:w="2520" w:type="dxa"/>
            <w:tcBorders>
              <w:top w:val="single" w:sz="8" w:space="0" w:color="auto"/>
              <w:left w:val="nil"/>
              <w:bottom w:val="single" w:sz="8" w:space="0" w:color="auto"/>
              <w:right w:val="single" w:sz="8" w:space="0" w:color="auto"/>
            </w:tcBorders>
            <w:noWrap/>
            <w:vAlign w:val="bottom"/>
          </w:tcPr>
          <w:p w:rsidR="00C36E4C" w:rsidRPr="00061371" w:rsidRDefault="00C36E4C" w:rsidP="00C36E4C">
            <w:pPr>
              <w:jc w:val="right"/>
            </w:pPr>
            <w:r w:rsidRPr="00061371">
              <w:t>$23.88</w:t>
            </w:r>
          </w:p>
        </w:tc>
      </w:tr>
      <w:tr w:rsidR="00C36E4C" w:rsidRPr="0077159C" w:rsidTr="00C36E4C">
        <w:trPr>
          <w:trHeight w:val="315"/>
          <w:jc w:val="center"/>
        </w:trPr>
        <w:tc>
          <w:tcPr>
            <w:tcW w:w="2435" w:type="dxa"/>
            <w:tcBorders>
              <w:top w:val="single" w:sz="8" w:space="0" w:color="auto"/>
              <w:left w:val="single" w:sz="8" w:space="0" w:color="auto"/>
              <w:bottom w:val="single" w:sz="8" w:space="0" w:color="auto"/>
              <w:right w:val="single" w:sz="4" w:space="0" w:color="auto"/>
            </w:tcBorders>
            <w:noWrap/>
            <w:vAlign w:val="bottom"/>
          </w:tcPr>
          <w:p w:rsidR="00C36E4C" w:rsidRPr="00F52214" w:rsidRDefault="00C36E4C" w:rsidP="00801524">
            <w:pPr>
              <w:keepNext/>
              <w:jc w:val="right"/>
              <w:rPr>
                <w:color w:val="000000"/>
              </w:rPr>
            </w:pPr>
            <w:r w:rsidRPr="00F52214">
              <w:rPr>
                <w:color w:val="000000"/>
              </w:rPr>
              <w:t>9</w:t>
            </w:r>
            <w:r>
              <w:rPr>
                <w:color w:val="000000"/>
              </w:rPr>
              <w:t>7</w:t>
            </w:r>
            <w:r w:rsidRPr="00F52214">
              <w:rPr>
                <w:color w:val="000000"/>
              </w:rPr>
              <w:t>%</w:t>
            </w:r>
          </w:p>
        </w:tc>
        <w:tc>
          <w:tcPr>
            <w:tcW w:w="2520" w:type="dxa"/>
            <w:tcBorders>
              <w:top w:val="single" w:sz="8" w:space="0" w:color="auto"/>
              <w:left w:val="nil"/>
              <w:bottom w:val="single" w:sz="8" w:space="0" w:color="auto"/>
              <w:right w:val="single" w:sz="8" w:space="0" w:color="auto"/>
            </w:tcBorders>
            <w:noWrap/>
            <w:vAlign w:val="bottom"/>
          </w:tcPr>
          <w:p w:rsidR="00C36E4C" w:rsidRDefault="00C36E4C" w:rsidP="00C36E4C">
            <w:pPr>
              <w:jc w:val="right"/>
            </w:pPr>
            <w:r w:rsidRPr="00061371">
              <w:t>$30.51</w:t>
            </w:r>
          </w:p>
        </w:tc>
      </w:tr>
      <w:tr w:rsidR="009C2EE6" w:rsidRPr="0077159C" w:rsidTr="00D860D4">
        <w:trPr>
          <w:trHeight w:val="340"/>
          <w:jc w:val="center"/>
        </w:trPr>
        <w:tc>
          <w:tcPr>
            <w:tcW w:w="4955" w:type="dxa"/>
            <w:gridSpan w:val="2"/>
            <w:tcBorders>
              <w:top w:val="nil"/>
              <w:left w:val="single" w:sz="4" w:space="0" w:color="auto"/>
              <w:bottom w:val="single" w:sz="4" w:space="0" w:color="auto"/>
              <w:right w:val="single" w:sz="4" w:space="0" w:color="auto"/>
            </w:tcBorders>
            <w:noWrap/>
            <w:vAlign w:val="bottom"/>
          </w:tcPr>
          <w:p w:rsidR="009C2EE6" w:rsidRPr="00F52214" w:rsidRDefault="009C2EE6" w:rsidP="00801524">
            <w:pPr>
              <w:keepNext/>
              <w:rPr>
                <w:color w:val="000000"/>
              </w:rPr>
            </w:pPr>
            <w:r>
              <w:rPr>
                <w:color w:val="000000"/>
              </w:rPr>
              <w:t>Labor Cost ($/k</w:t>
            </w:r>
            <w:r w:rsidRPr="00F52214">
              <w:rPr>
                <w:color w:val="000000"/>
              </w:rPr>
              <w:t>Btuh)</w:t>
            </w:r>
          </w:p>
        </w:tc>
      </w:tr>
      <w:tr w:rsidR="009C2EE6" w:rsidRPr="0077159C" w:rsidTr="00D860D4">
        <w:trPr>
          <w:trHeight w:val="315"/>
          <w:jc w:val="center"/>
        </w:trPr>
        <w:tc>
          <w:tcPr>
            <w:tcW w:w="2435" w:type="dxa"/>
            <w:tcBorders>
              <w:top w:val="nil"/>
              <w:left w:val="single" w:sz="4" w:space="0" w:color="auto"/>
              <w:bottom w:val="single" w:sz="4" w:space="0" w:color="auto"/>
              <w:right w:val="nil"/>
            </w:tcBorders>
            <w:noWrap/>
            <w:vAlign w:val="bottom"/>
          </w:tcPr>
          <w:p w:rsidR="009C2EE6" w:rsidRPr="00F52214" w:rsidRDefault="009C2EE6" w:rsidP="00801524">
            <w:pPr>
              <w:keepNext/>
              <w:rPr>
                <w:color w:val="000000"/>
              </w:rPr>
            </w:pPr>
            <w:r w:rsidRPr="00F52214">
              <w:rPr>
                <w:color w:val="000000"/>
              </w:rPr>
              <w:t> </w:t>
            </w:r>
          </w:p>
        </w:tc>
        <w:tc>
          <w:tcPr>
            <w:tcW w:w="2520" w:type="dxa"/>
            <w:tcBorders>
              <w:top w:val="single" w:sz="8" w:space="0" w:color="auto"/>
              <w:left w:val="single" w:sz="8" w:space="0" w:color="auto"/>
              <w:bottom w:val="single" w:sz="8" w:space="0" w:color="auto"/>
              <w:right w:val="single" w:sz="8" w:space="0" w:color="auto"/>
            </w:tcBorders>
            <w:noWrap/>
            <w:vAlign w:val="bottom"/>
          </w:tcPr>
          <w:p w:rsidR="009C2EE6" w:rsidRPr="00F52214" w:rsidRDefault="009C2EE6" w:rsidP="00801524">
            <w:pPr>
              <w:keepNext/>
              <w:jc w:val="right"/>
              <w:rPr>
                <w:color w:val="000000"/>
              </w:rPr>
            </w:pPr>
            <w:r w:rsidRPr="00F52214">
              <w:rPr>
                <w:color w:val="000000"/>
              </w:rPr>
              <w:t>$5.84</w:t>
            </w:r>
          </w:p>
        </w:tc>
      </w:tr>
    </w:tbl>
    <w:p w:rsidR="001E3570" w:rsidRDefault="00D860D4" w:rsidP="00D860D4">
      <w:pPr>
        <w:rPr>
          <w:i/>
          <w:iCs/>
        </w:rPr>
      </w:pPr>
      <w:r w:rsidRPr="0077159C">
        <w:rPr>
          <w:i/>
          <w:iCs/>
        </w:rPr>
        <w:t xml:space="preserve"> </w:t>
      </w:r>
    </w:p>
    <w:p w:rsidR="001E3570" w:rsidRPr="0077159C" w:rsidRDefault="001E3570" w:rsidP="00D860D4"/>
    <w:p w:rsidR="00D860D4" w:rsidRPr="0077159C" w:rsidRDefault="00D860D4" w:rsidP="00D860D4">
      <w:r w:rsidRPr="0077159C">
        <w:t>The following Measure Application Types are appropriate to these measures. The Base Case Costs</w:t>
      </w:r>
      <w:r w:rsidR="00F15DEE">
        <w:t xml:space="preserve"> were  calculated using the values from Table 6 as well as the typical furnace sizes mentioned in B.5 within this section. These base cases</w:t>
      </w:r>
      <w:r w:rsidRPr="0077159C">
        <w:t xml:space="preserve"> are</w:t>
      </w:r>
      <w:r w:rsidR="00735288">
        <w:t xml:space="preserve"> shown </w:t>
      </w:r>
      <w:r w:rsidR="00F15DEE">
        <w:t xml:space="preserve">below </w:t>
      </w:r>
      <w:r w:rsidR="00134D70">
        <w:t>i</w:t>
      </w:r>
      <w:r w:rsidR="00735288">
        <w:t xml:space="preserve">n Table </w:t>
      </w:r>
      <w:r w:rsidR="001B5319">
        <w:t>7</w:t>
      </w:r>
      <w:r w:rsidR="0098559E">
        <w:t>:</w:t>
      </w:r>
    </w:p>
    <w:p w:rsidR="00D860D4" w:rsidRPr="0077159C" w:rsidRDefault="00D860D4" w:rsidP="00D860D4">
      <w:pPr>
        <w:rPr>
          <w:i/>
          <w:iCs/>
        </w:rPr>
      </w:pPr>
    </w:p>
    <w:p w:rsidR="00D860D4" w:rsidRPr="00735288" w:rsidRDefault="00E96475" w:rsidP="001A3391">
      <w:pPr>
        <w:pStyle w:val="Caption"/>
      </w:pPr>
      <w:bookmarkStart w:id="40" w:name="_Toc327873666"/>
      <w:bookmarkStart w:id="41" w:name="_Toc355245888"/>
      <w:bookmarkStart w:id="42" w:name="_Toc384913199"/>
      <w:r>
        <w:t xml:space="preserve">Table </w:t>
      </w:r>
      <w:r w:rsidR="006F409E">
        <w:fldChar w:fldCharType="begin"/>
      </w:r>
      <w:r w:rsidR="00231A62">
        <w:instrText xml:space="preserve"> SEQ Table \* ARABIC </w:instrText>
      </w:r>
      <w:r w:rsidR="006F409E">
        <w:fldChar w:fldCharType="separate"/>
      </w:r>
      <w:r w:rsidR="003322A7">
        <w:rPr>
          <w:noProof/>
        </w:rPr>
        <w:t>7</w:t>
      </w:r>
      <w:r w:rsidR="006F409E">
        <w:rPr>
          <w:noProof/>
        </w:rPr>
        <w:fldChar w:fldCharType="end"/>
      </w:r>
      <w:r>
        <w:t xml:space="preserve">: </w:t>
      </w:r>
      <w:r w:rsidRPr="007A0B2F">
        <w:t>Base Case Costs (per furnace)</w:t>
      </w:r>
      <w:bookmarkEnd w:id="40"/>
      <w:bookmarkEnd w:id="41"/>
      <w:bookmarkEnd w:id="42"/>
    </w:p>
    <w:tbl>
      <w:tblPr>
        <w:tblW w:w="8480" w:type="dxa"/>
        <w:jc w:val="center"/>
        <w:tblLook w:val="04A0" w:firstRow="1" w:lastRow="0" w:firstColumn="1" w:lastColumn="0" w:noHBand="0" w:noVBand="1"/>
      </w:tblPr>
      <w:tblGrid>
        <w:gridCol w:w="1324"/>
        <w:gridCol w:w="1195"/>
        <w:gridCol w:w="1125"/>
        <w:gridCol w:w="1195"/>
        <w:gridCol w:w="1173"/>
        <w:gridCol w:w="1362"/>
        <w:gridCol w:w="1106"/>
      </w:tblGrid>
      <w:tr w:rsidR="003401CC" w:rsidRPr="003401CC" w:rsidTr="00C02E42">
        <w:trPr>
          <w:trHeight w:val="1050"/>
          <w:jc w:val="center"/>
        </w:trPr>
        <w:tc>
          <w:tcPr>
            <w:tcW w:w="1324" w:type="dxa"/>
            <w:tcBorders>
              <w:top w:val="single" w:sz="8" w:space="0" w:color="auto"/>
              <w:left w:val="single" w:sz="4" w:space="0" w:color="auto"/>
              <w:bottom w:val="single" w:sz="8" w:space="0" w:color="auto"/>
              <w:right w:val="single" w:sz="8" w:space="0" w:color="auto"/>
            </w:tcBorders>
            <w:shd w:val="clear" w:color="auto" w:fill="auto"/>
            <w:vAlign w:val="bottom"/>
            <w:hideMark/>
          </w:tcPr>
          <w:p w:rsidR="003401CC" w:rsidRPr="003401CC" w:rsidRDefault="003401CC" w:rsidP="003401CC">
            <w:pPr>
              <w:jc w:val="center"/>
              <w:rPr>
                <w:rFonts w:eastAsia="Times New Roman" w:cs="Arial"/>
                <w:color w:val="000000"/>
              </w:rPr>
            </w:pPr>
            <w:r w:rsidRPr="003401CC">
              <w:rPr>
                <w:rFonts w:eastAsia="Times New Roman" w:cs="Arial"/>
                <w:color w:val="000000"/>
              </w:rPr>
              <w:t>Building Type</w:t>
            </w:r>
          </w:p>
        </w:tc>
        <w:tc>
          <w:tcPr>
            <w:tcW w:w="1195" w:type="dxa"/>
            <w:tcBorders>
              <w:top w:val="single" w:sz="8" w:space="0" w:color="auto"/>
              <w:left w:val="nil"/>
              <w:bottom w:val="single" w:sz="8" w:space="0" w:color="auto"/>
              <w:right w:val="single" w:sz="8" w:space="0" w:color="auto"/>
            </w:tcBorders>
            <w:shd w:val="clear" w:color="auto" w:fill="auto"/>
            <w:vAlign w:val="bottom"/>
            <w:hideMark/>
          </w:tcPr>
          <w:p w:rsidR="003401CC" w:rsidRPr="003401CC" w:rsidRDefault="003401CC" w:rsidP="003401CC">
            <w:pPr>
              <w:jc w:val="center"/>
              <w:rPr>
                <w:rFonts w:eastAsia="Times New Roman" w:cs="Arial"/>
                <w:color w:val="000000"/>
              </w:rPr>
            </w:pPr>
            <w:r w:rsidRPr="003401CC">
              <w:rPr>
                <w:rFonts w:eastAsia="Times New Roman" w:cs="Arial"/>
                <w:color w:val="000000"/>
              </w:rPr>
              <w:t>Measure Application Type</w:t>
            </w:r>
          </w:p>
        </w:tc>
        <w:tc>
          <w:tcPr>
            <w:tcW w:w="1125" w:type="dxa"/>
            <w:tcBorders>
              <w:top w:val="single" w:sz="8" w:space="0" w:color="auto"/>
              <w:left w:val="nil"/>
              <w:bottom w:val="single" w:sz="8" w:space="0" w:color="auto"/>
              <w:right w:val="single" w:sz="8" w:space="0" w:color="auto"/>
            </w:tcBorders>
            <w:shd w:val="clear" w:color="auto" w:fill="auto"/>
            <w:vAlign w:val="bottom"/>
            <w:hideMark/>
          </w:tcPr>
          <w:p w:rsidR="003401CC" w:rsidRPr="003401CC" w:rsidRDefault="003401CC" w:rsidP="003401CC">
            <w:pPr>
              <w:jc w:val="center"/>
              <w:rPr>
                <w:rFonts w:eastAsia="Times New Roman" w:cs="Arial"/>
                <w:color w:val="000000"/>
              </w:rPr>
            </w:pPr>
            <w:r w:rsidRPr="003401CC">
              <w:rPr>
                <w:rFonts w:eastAsia="Times New Roman" w:cs="Arial"/>
                <w:color w:val="000000"/>
              </w:rPr>
              <w:t>Baseline</w:t>
            </w:r>
          </w:p>
        </w:tc>
        <w:tc>
          <w:tcPr>
            <w:tcW w:w="1195" w:type="dxa"/>
            <w:tcBorders>
              <w:top w:val="single" w:sz="8" w:space="0" w:color="auto"/>
              <w:left w:val="nil"/>
              <w:bottom w:val="single" w:sz="8" w:space="0" w:color="auto"/>
              <w:right w:val="single" w:sz="8" w:space="0" w:color="auto"/>
            </w:tcBorders>
            <w:shd w:val="clear" w:color="auto" w:fill="auto"/>
            <w:vAlign w:val="bottom"/>
            <w:hideMark/>
          </w:tcPr>
          <w:p w:rsidR="003401CC" w:rsidRPr="003401CC" w:rsidRDefault="003401CC" w:rsidP="003401CC">
            <w:pPr>
              <w:jc w:val="center"/>
              <w:rPr>
                <w:rFonts w:eastAsia="Times New Roman" w:cs="Arial"/>
                <w:color w:val="000000"/>
              </w:rPr>
            </w:pPr>
            <w:r w:rsidRPr="003401CC">
              <w:rPr>
                <w:rFonts w:eastAsia="Times New Roman" w:cs="Arial"/>
                <w:color w:val="000000"/>
              </w:rPr>
              <w:t>Equipment Cost</w:t>
            </w:r>
          </w:p>
        </w:tc>
        <w:tc>
          <w:tcPr>
            <w:tcW w:w="1173" w:type="dxa"/>
            <w:tcBorders>
              <w:top w:val="single" w:sz="8" w:space="0" w:color="auto"/>
              <w:left w:val="nil"/>
              <w:bottom w:val="single" w:sz="8" w:space="0" w:color="auto"/>
              <w:right w:val="single" w:sz="8" w:space="0" w:color="auto"/>
            </w:tcBorders>
            <w:shd w:val="clear" w:color="auto" w:fill="auto"/>
            <w:vAlign w:val="bottom"/>
            <w:hideMark/>
          </w:tcPr>
          <w:p w:rsidR="003401CC" w:rsidRPr="003401CC" w:rsidRDefault="003401CC" w:rsidP="003401CC">
            <w:pPr>
              <w:jc w:val="center"/>
              <w:rPr>
                <w:rFonts w:eastAsia="Times New Roman" w:cs="Arial"/>
                <w:color w:val="000000"/>
              </w:rPr>
            </w:pPr>
            <w:r w:rsidRPr="003401CC">
              <w:rPr>
                <w:rFonts w:eastAsia="Times New Roman" w:cs="Arial"/>
                <w:color w:val="000000"/>
              </w:rPr>
              <w:t>Labor / Installation Cost</w:t>
            </w:r>
          </w:p>
        </w:tc>
        <w:tc>
          <w:tcPr>
            <w:tcW w:w="1362" w:type="dxa"/>
            <w:tcBorders>
              <w:top w:val="single" w:sz="8" w:space="0" w:color="auto"/>
              <w:left w:val="nil"/>
              <w:bottom w:val="single" w:sz="8" w:space="0" w:color="auto"/>
              <w:right w:val="single" w:sz="8" w:space="0" w:color="auto"/>
            </w:tcBorders>
            <w:shd w:val="clear" w:color="auto" w:fill="auto"/>
            <w:vAlign w:val="bottom"/>
            <w:hideMark/>
          </w:tcPr>
          <w:p w:rsidR="003401CC" w:rsidRPr="003401CC" w:rsidRDefault="003401CC" w:rsidP="003401CC">
            <w:pPr>
              <w:jc w:val="center"/>
              <w:rPr>
                <w:rFonts w:eastAsia="Times New Roman" w:cs="Arial"/>
                <w:color w:val="000000"/>
              </w:rPr>
            </w:pPr>
            <w:r w:rsidRPr="003401CC">
              <w:rPr>
                <w:rFonts w:eastAsia="Times New Roman" w:cs="Arial"/>
                <w:color w:val="000000"/>
              </w:rPr>
              <w:t>Maintenance / Other Cost</w:t>
            </w:r>
          </w:p>
        </w:tc>
        <w:tc>
          <w:tcPr>
            <w:tcW w:w="1106" w:type="dxa"/>
            <w:tcBorders>
              <w:top w:val="single" w:sz="8" w:space="0" w:color="auto"/>
              <w:left w:val="nil"/>
              <w:bottom w:val="single" w:sz="8" w:space="0" w:color="auto"/>
              <w:right w:val="single" w:sz="8" w:space="0" w:color="auto"/>
            </w:tcBorders>
            <w:shd w:val="clear" w:color="auto" w:fill="auto"/>
            <w:vAlign w:val="bottom"/>
            <w:hideMark/>
          </w:tcPr>
          <w:p w:rsidR="003401CC" w:rsidRPr="003401CC" w:rsidRDefault="003401CC" w:rsidP="003401CC">
            <w:pPr>
              <w:jc w:val="center"/>
              <w:rPr>
                <w:rFonts w:eastAsia="Times New Roman" w:cs="Arial"/>
                <w:color w:val="000000"/>
              </w:rPr>
            </w:pPr>
            <w:r w:rsidRPr="003401CC">
              <w:rPr>
                <w:rFonts w:eastAsia="Times New Roman" w:cs="Arial"/>
                <w:color w:val="000000"/>
              </w:rPr>
              <w:t>Total Measure Case Cost</w:t>
            </w:r>
          </w:p>
        </w:tc>
      </w:tr>
      <w:tr w:rsidR="00C02E42" w:rsidRPr="003401CC" w:rsidTr="00C02E42">
        <w:trPr>
          <w:trHeight w:val="540"/>
          <w:jc w:val="center"/>
        </w:trPr>
        <w:tc>
          <w:tcPr>
            <w:tcW w:w="1324" w:type="dxa"/>
            <w:tcBorders>
              <w:top w:val="single" w:sz="8" w:space="0" w:color="auto"/>
              <w:left w:val="single" w:sz="4" w:space="0" w:color="auto"/>
              <w:bottom w:val="single" w:sz="8" w:space="0" w:color="auto"/>
              <w:right w:val="single" w:sz="8" w:space="0" w:color="auto"/>
            </w:tcBorders>
            <w:shd w:val="clear" w:color="auto" w:fill="auto"/>
            <w:vAlign w:val="bottom"/>
            <w:hideMark/>
          </w:tcPr>
          <w:p w:rsidR="00C02E42" w:rsidRPr="003401CC" w:rsidRDefault="00C02E42" w:rsidP="003401CC">
            <w:pPr>
              <w:jc w:val="center"/>
              <w:rPr>
                <w:rFonts w:eastAsia="Times New Roman" w:cs="Arial"/>
                <w:color w:val="000000"/>
              </w:rPr>
            </w:pPr>
            <w:r w:rsidRPr="003401CC">
              <w:rPr>
                <w:rFonts w:eastAsia="Times New Roman" w:cs="Arial"/>
                <w:color w:val="000000"/>
              </w:rPr>
              <w:t>SF</w:t>
            </w:r>
            <w:r>
              <w:rPr>
                <w:rFonts w:eastAsia="Times New Roman" w:cs="Arial"/>
                <w:color w:val="000000"/>
              </w:rPr>
              <w:t>m</w:t>
            </w:r>
          </w:p>
        </w:tc>
        <w:tc>
          <w:tcPr>
            <w:tcW w:w="1195" w:type="dxa"/>
            <w:tcBorders>
              <w:top w:val="nil"/>
              <w:left w:val="nil"/>
              <w:bottom w:val="single" w:sz="8" w:space="0" w:color="auto"/>
              <w:right w:val="single" w:sz="8" w:space="0" w:color="auto"/>
            </w:tcBorders>
            <w:shd w:val="clear" w:color="auto" w:fill="auto"/>
            <w:vAlign w:val="bottom"/>
            <w:hideMark/>
          </w:tcPr>
          <w:p w:rsidR="00C02E42" w:rsidRPr="003401CC" w:rsidRDefault="00C02E42" w:rsidP="003401CC">
            <w:pPr>
              <w:jc w:val="center"/>
              <w:rPr>
                <w:rFonts w:eastAsia="Times New Roman" w:cs="Arial"/>
                <w:color w:val="000000"/>
              </w:rPr>
            </w:pPr>
            <w:r w:rsidRPr="003401CC">
              <w:rPr>
                <w:rFonts w:eastAsia="Times New Roman" w:cs="Arial"/>
                <w:color w:val="000000"/>
              </w:rPr>
              <w:t>ROB, NC</w:t>
            </w:r>
          </w:p>
        </w:tc>
        <w:tc>
          <w:tcPr>
            <w:tcW w:w="1125" w:type="dxa"/>
            <w:tcBorders>
              <w:top w:val="nil"/>
              <w:left w:val="nil"/>
              <w:bottom w:val="single" w:sz="8" w:space="0" w:color="auto"/>
              <w:right w:val="single" w:sz="8" w:space="0" w:color="auto"/>
            </w:tcBorders>
            <w:shd w:val="clear" w:color="auto" w:fill="auto"/>
            <w:vAlign w:val="bottom"/>
            <w:hideMark/>
          </w:tcPr>
          <w:p w:rsidR="00C02E42" w:rsidRPr="003401CC" w:rsidRDefault="00C02E42" w:rsidP="003401CC">
            <w:pPr>
              <w:jc w:val="center"/>
              <w:rPr>
                <w:rFonts w:eastAsia="Times New Roman" w:cs="Arial"/>
                <w:color w:val="000000"/>
              </w:rPr>
            </w:pPr>
            <w:r w:rsidRPr="003401CC">
              <w:rPr>
                <w:rFonts w:eastAsia="Times New Roman" w:cs="Arial"/>
                <w:color w:val="000000"/>
              </w:rPr>
              <w:t>Code</w:t>
            </w:r>
          </w:p>
        </w:tc>
        <w:tc>
          <w:tcPr>
            <w:tcW w:w="1195" w:type="dxa"/>
            <w:tcBorders>
              <w:top w:val="nil"/>
              <w:left w:val="nil"/>
              <w:bottom w:val="single" w:sz="8" w:space="0" w:color="auto"/>
              <w:right w:val="single" w:sz="8" w:space="0" w:color="auto"/>
            </w:tcBorders>
            <w:shd w:val="clear" w:color="auto" w:fill="auto"/>
            <w:vAlign w:val="bottom"/>
            <w:hideMark/>
          </w:tcPr>
          <w:p w:rsidR="00C02E42" w:rsidRDefault="00C02E42">
            <w:pPr>
              <w:jc w:val="center"/>
              <w:rPr>
                <w:rFonts w:cs="Arial"/>
                <w:color w:val="000000"/>
              </w:rPr>
            </w:pPr>
            <w:r>
              <w:rPr>
                <w:rFonts w:cs="Arial"/>
                <w:color w:val="000000"/>
              </w:rPr>
              <w:t xml:space="preserve">$766.80 </w:t>
            </w:r>
          </w:p>
        </w:tc>
        <w:tc>
          <w:tcPr>
            <w:tcW w:w="1173" w:type="dxa"/>
            <w:tcBorders>
              <w:top w:val="nil"/>
              <w:left w:val="nil"/>
              <w:bottom w:val="single" w:sz="8" w:space="0" w:color="auto"/>
              <w:right w:val="single" w:sz="8" w:space="0" w:color="auto"/>
            </w:tcBorders>
            <w:shd w:val="clear" w:color="auto" w:fill="auto"/>
            <w:vAlign w:val="bottom"/>
            <w:hideMark/>
          </w:tcPr>
          <w:p w:rsidR="00C02E42" w:rsidRDefault="00D17CA5">
            <w:pPr>
              <w:jc w:val="center"/>
              <w:rPr>
                <w:rFonts w:cs="Arial"/>
                <w:color w:val="000000"/>
              </w:rPr>
            </w:pPr>
            <w:r>
              <w:rPr>
                <w:rFonts w:cs="Arial"/>
                <w:color w:val="000000"/>
              </w:rPr>
              <w:t>$373.</w:t>
            </w:r>
            <w:r w:rsidR="009C071D">
              <w:rPr>
                <w:rFonts w:cs="Arial"/>
                <w:color w:val="000000"/>
              </w:rPr>
              <w:t>18</w:t>
            </w:r>
            <w:r w:rsidR="00C02E42">
              <w:rPr>
                <w:rFonts w:cs="Arial"/>
                <w:color w:val="000000"/>
              </w:rPr>
              <w:t xml:space="preserve"> </w:t>
            </w:r>
          </w:p>
        </w:tc>
        <w:tc>
          <w:tcPr>
            <w:tcW w:w="1362" w:type="dxa"/>
            <w:tcBorders>
              <w:top w:val="nil"/>
              <w:left w:val="nil"/>
              <w:bottom w:val="single" w:sz="8" w:space="0" w:color="auto"/>
              <w:right w:val="single" w:sz="8" w:space="0" w:color="auto"/>
            </w:tcBorders>
            <w:shd w:val="clear" w:color="auto" w:fill="auto"/>
            <w:vAlign w:val="bottom"/>
            <w:hideMark/>
          </w:tcPr>
          <w:p w:rsidR="00C02E42" w:rsidRDefault="00C02E42">
            <w:pPr>
              <w:jc w:val="center"/>
              <w:rPr>
                <w:rFonts w:cs="Arial"/>
                <w:color w:val="000000"/>
              </w:rPr>
            </w:pPr>
            <w:r>
              <w:rPr>
                <w:rFonts w:cs="Arial"/>
                <w:color w:val="000000"/>
              </w:rPr>
              <w:t xml:space="preserve">$0 </w:t>
            </w:r>
          </w:p>
        </w:tc>
        <w:tc>
          <w:tcPr>
            <w:tcW w:w="1106" w:type="dxa"/>
            <w:tcBorders>
              <w:top w:val="nil"/>
              <w:left w:val="nil"/>
              <w:bottom w:val="single" w:sz="8" w:space="0" w:color="auto"/>
              <w:right w:val="single" w:sz="8" w:space="0" w:color="auto"/>
            </w:tcBorders>
            <w:shd w:val="clear" w:color="auto" w:fill="auto"/>
            <w:vAlign w:val="bottom"/>
            <w:hideMark/>
          </w:tcPr>
          <w:p w:rsidR="00C02E42" w:rsidRDefault="009C071D">
            <w:pPr>
              <w:jc w:val="center"/>
              <w:rPr>
                <w:rFonts w:cs="Arial"/>
                <w:color w:val="000000"/>
              </w:rPr>
            </w:pPr>
            <w:r>
              <w:rPr>
                <w:rFonts w:cs="Arial"/>
                <w:color w:val="000000"/>
              </w:rPr>
              <w:t>$1,139.97</w:t>
            </w:r>
            <w:r w:rsidR="00C02E42">
              <w:rPr>
                <w:rFonts w:cs="Arial"/>
                <w:color w:val="000000"/>
              </w:rPr>
              <w:t xml:space="preserve"> </w:t>
            </w:r>
          </w:p>
        </w:tc>
      </w:tr>
      <w:tr w:rsidR="00C02E42" w:rsidRPr="003401CC" w:rsidTr="00C02E42">
        <w:trPr>
          <w:trHeight w:val="540"/>
          <w:jc w:val="center"/>
        </w:trPr>
        <w:tc>
          <w:tcPr>
            <w:tcW w:w="1324" w:type="dxa"/>
            <w:tcBorders>
              <w:top w:val="single" w:sz="8" w:space="0" w:color="auto"/>
              <w:left w:val="single" w:sz="4" w:space="0" w:color="auto"/>
              <w:bottom w:val="single" w:sz="8" w:space="0" w:color="auto"/>
              <w:right w:val="single" w:sz="8" w:space="0" w:color="auto"/>
            </w:tcBorders>
            <w:shd w:val="clear" w:color="auto" w:fill="auto"/>
            <w:vAlign w:val="bottom"/>
            <w:hideMark/>
          </w:tcPr>
          <w:p w:rsidR="00C02E42" w:rsidRPr="003401CC" w:rsidRDefault="00C02E42" w:rsidP="003401CC">
            <w:pPr>
              <w:jc w:val="center"/>
              <w:rPr>
                <w:rFonts w:eastAsia="Times New Roman" w:cs="Arial"/>
                <w:color w:val="000000"/>
              </w:rPr>
            </w:pPr>
            <w:r w:rsidRPr="003401CC">
              <w:rPr>
                <w:rFonts w:eastAsia="Times New Roman" w:cs="Arial"/>
                <w:color w:val="000000"/>
              </w:rPr>
              <w:t>MFm</w:t>
            </w:r>
          </w:p>
        </w:tc>
        <w:tc>
          <w:tcPr>
            <w:tcW w:w="1195" w:type="dxa"/>
            <w:tcBorders>
              <w:top w:val="nil"/>
              <w:left w:val="nil"/>
              <w:bottom w:val="single" w:sz="8" w:space="0" w:color="auto"/>
              <w:right w:val="single" w:sz="8" w:space="0" w:color="auto"/>
            </w:tcBorders>
            <w:shd w:val="clear" w:color="auto" w:fill="auto"/>
            <w:vAlign w:val="bottom"/>
            <w:hideMark/>
          </w:tcPr>
          <w:p w:rsidR="00C02E42" w:rsidRPr="003401CC" w:rsidRDefault="00C02E42" w:rsidP="003401CC">
            <w:pPr>
              <w:jc w:val="center"/>
              <w:rPr>
                <w:rFonts w:eastAsia="Times New Roman" w:cs="Arial"/>
                <w:color w:val="000000"/>
              </w:rPr>
            </w:pPr>
            <w:r w:rsidRPr="003401CC">
              <w:rPr>
                <w:rFonts w:eastAsia="Times New Roman" w:cs="Arial"/>
                <w:color w:val="000000"/>
              </w:rPr>
              <w:t>ROB, NC</w:t>
            </w:r>
          </w:p>
        </w:tc>
        <w:tc>
          <w:tcPr>
            <w:tcW w:w="1125" w:type="dxa"/>
            <w:tcBorders>
              <w:top w:val="nil"/>
              <w:left w:val="nil"/>
              <w:bottom w:val="single" w:sz="8" w:space="0" w:color="auto"/>
              <w:right w:val="single" w:sz="8" w:space="0" w:color="auto"/>
            </w:tcBorders>
            <w:shd w:val="clear" w:color="auto" w:fill="auto"/>
            <w:vAlign w:val="bottom"/>
            <w:hideMark/>
          </w:tcPr>
          <w:p w:rsidR="00C02E42" w:rsidRPr="003401CC" w:rsidRDefault="00C02E42" w:rsidP="003401CC">
            <w:pPr>
              <w:jc w:val="center"/>
              <w:rPr>
                <w:rFonts w:eastAsia="Times New Roman" w:cs="Arial"/>
                <w:color w:val="000000"/>
              </w:rPr>
            </w:pPr>
            <w:r w:rsidRPr="003401CC">
              <w:rPr>
                <w:rFonts w:eastAsia="Times New Roman" w:cs="Arial"/>
                <w:color w:val="000000"/>
              </w:rPr>
              <w:t>Code</w:t>
            </w:r>
          </w:p>
        </w:tc>
        <w:tc>
          <w:tcPr>
            <w:tcW w:w="1195" w:type="dxa"/>
            <w:tcBorders>
              <w:top w:val="nil"/>
              <w:left w:val="nil"/>
              <w:bottom w:val="single" w:sz="8" w:space="0" w:color="auto"/>
              <w:right w:val="single" w:sz="8" w:space="0" w:color="auto"/>
            </w:tcBorders>
            <w:shd w:val="clear" w:color="auto" w:fill="auto"/>
            <w:vAlign w:val="bottom"/>
            <w:hideMark/>
          </w:tcPr>
          <w:p w:rsidR="00C02E42" w:rsidRDefault="00C02E42">
            <w:pPr>
              <w:jc w:val="center"/>
              <w:rPr>
                <w:rFonts w:cs="Arial"/>
                <w:color w:val="000000"/>
              </w:rPr>
            </w:pPr>
            <w:r>
              <w:rPr>
                <w:rFonts w:cs="Arial"/>
                <w:color w:val="000000"/>
              </w:rPr>
              <w:t xml:space="preserve">$385.20 </w:t>
            </w:r>
          </w:p>
        </w:tc>
        <w:tc>
          <w:tcPr>
            <w:tcW w:w="1173" w:type="dxa"/>
            <w:tcBorders>
              <w:top w:val="nil"/>
              <w:left w:val="nil"/>
              <w:bottom w:val="single" w:sz="8" w:space="0" w:color="auto"/>
              <w:right w:val="single" w:sz="8" w:space="0" w:color="auto"/>
            </w:tcBorders>
            <w:shd w:val="clear" w:color="auto" w:fill="auto"/>
            <w:vAlign w:val="bottom"/>
            <w:hideMark/>
          </w:tcPr>
          <w:p w:rsidR="00C02E42" w:rsidRDefault="009C071D">
            <w:pPr>
              <w:jc w:val="center"/>
              <w:rPr>
                <w:rFonts w:cs="Arial"/>
                <w:color w:val="000000"/>
              </w:rPr>
            </w:pPr>
            <w:r>
              <w:rPr>
                <w:rFonts w:cs="Arial"/>
                <w:color w:val="000000"/>
              </w:rPr>
              <w:t>$187.46</w:t>
            </w:r>
            <w:r w:rsidR="00C02E42">
              <w:rPr>
                <w:rFonts w:cs="Arial"/>
                <w:color w:val="000000"/>
              </w:rPr>
              <w:t xml:space="preserve"> </w:t>
            </w:r>
          </w:p>
        </w:tc>
        <w:tc>
          <w:tcPr>
            <w:tcW w:w="1362" w:type="dxa"/>
            <w:tcBorders>
              <w:top w:val="nil"/>
              <w:left w:val="nil"/>
              <w:bottom w:val="single" w:sz="8" w:space="0" w:color="auto"/>
              <w:right w:val="single" w:sz="8" w:space="0" w:color="auto"/>
            </w:tcBorders>
            <w:shd w:val="clear" w:color="auto" w:fill="auto"/>
            <w:vAlign w:val="bottom"/>
            <w:hideMark/>
          </w:tcPr>
          <w:p w:rsidR="00C02E42" w:rsidRDefault="00C02E42">
            <w:pPr>
              <w:jc w:val="center"/>
              <w:rPr>
                <w:rFonts w:cs="Arial"/>
                <w:color w:val="000000"/>
              </w:rPr>
            </w:pPr>
            <w:r>
              <w:rPr>
                <w:rFonts w:cs="Arial"/>
                <w:color w:val="000000"/>
              </w:rPr>
              <w:t xml:space="preserve">$0 </w:t>
            </w:r>
          </w:p>
        </w:tc>
        <w:tc>
          <w:tcPr>
            <w:tcW w:w="1106" w:type="dxa"/>
            <w:tcBorders>
              <w:top w:val="nil"/>
              <w:left w:val="nil"/>
              <w:bottom w:val="single" w:sz="8" w:space="0" w:color="auto"/>
              <w:right w:val="single" w:sz="8" w:space="0" w:color="auto"/>
            </w:tcBorders>
            <w:shd w:val="clear" w:color="auto" w:fill="auto"/>
            <w:vAlign w:val="bottom"/>
            <w:hideMark/>
          </w:tcPr>
          <w:p w:rsidR="00C02E42" w:rsidRDefault="009C071D">
            <w:pPr>
              <w:jc w:val="center"/>
              <w:rPr>
                <w:rFonts w:cs="Arial"/>
                <w:color w:val="000000"/>
              </w:rPr>
            </w:pPr>
            <w:r>
              <w:rPr>
                <w:rFonts w:cs="Arial"/>
                <w:color w:val="000000"/>
              </w:rPr>
              <w:t>$572.66</w:t>
            </w:r>
            <w:r w:rsidR="00C02E42">
              <w:rPr>
                <w:rFonts w:cs="Arial"/>
                <w:color w:val="000000"/>
              </w:rPr>
              <w:t xml:space="preserve"> </w:t>
            </w:r>
          </w:p>
        </w:tc>
      </w:tr>
      <w:tr w:rsidR="00C02E42" w:rsidRPr="003401CC" w:rsidTr="00C02E42">
        <w:trPr>
          <w:trHeight w:val="540"/>
          <w:jc w:val="center"/>
        </w:trPr>
        <w:tc>
          <w:tcPr>
            <w:tcW w:w="1324" w:type="dxa"/>
            <w:tcBorders>
              <w:top w:val="single" w:sz="8" w:space="0" w:color="auto"/>
              <w:left w:val="single" w:sz="4" w:space="0" w:color="auto"/>
              <w:bottom w:val="single" w:sz="8" w:space="0" w:color="auto"/>
              <w:right w:val="single" w:sz="8" w:space="0" w:color="auto"/>
            </w:tcBorders>
            <w:shd w:val="clear" w:color="auto" w:fill="auto"/>
            <w:vAlign w:val="bottom"/>
            <w:hideMark/>
          </w:tcPr>
          <w:p w:rsidR="00C02E42" w:rsidRPr="003401CC" w:rsidRDefault="00C02E42" w:rsidP="003401CC">
            <w:pPr>
              <w:jc w:val="center"/>
              <w:rPr>
                <w:rFonts w:eastAsia="Times New Roman" w:cs="Arial"/>
                <w:color w:val="000000"/>
              </w:rPr>
            </w:pPr>
            <w:r w:rsidRPr="003401CC">
              <w:rPr>
                <w:rFonts w:eastAsia="Times New Roman" w:cs="Arial"/>
                <w:color w:val="000000"/>
              </w:rPr>
              <w:t>DM</w:t>
            </w:r>
            <w:r>
              <w:rPr>
                <w:rFonts w:eastAsia="Times New Roman" w:cs="Arial"/>
                <w:color w:val="000000"/>
              </w:rPr>
              <w:t>o</w:t>
            </w:r>
          </w:p>
        </w:tc>
        <w:tc>
          <w:tcPr>
            <w:tcW w:w="1195" w:type="dxa"/>
            <w:tcBorders>
              <w:top w:val="nil"/>
              <w:left w:val="nil"/>
              <w:bottom w:val="single" w:sz="8" w:space="0" w:color="auto"/>
              <w:right w:val="single" w:sz="8" w:space="0" w:color="auto"/>
            </w:tcBorders>
            <w:shd w:val="clear" w:color="auto" w:fill="auto"/>
            <w:vAlign w:val="bottom"/>
            <w:hideMark/>
          </w:tcPr>
          <w:p w:rsidR="00C02E42" w:rsidRPr="003401CC" w:rsidRDefault="00C02E42" w:rsidP="003401CC">
            <w:pPr>
              <w:jc w:val="center"/>
              <w:rPr>
                <w:rFonts w:eastAsia="Times New Roman" w:cs="Arial"/>
                <w:color w:val="000000"/>
              </w:rPr>
            </w:pPr>
            <w:r w:rsidRPr="003401CC">
              <w:rPr>
                <w:rFonts w:eastAsia="Times New Roman" w:cs="Arial"/>
                <w:color w:val="000000"/>
              </w:rPr>
              <w:t>ROB, NC</w:t>
            </w:r>
          </w:p>
        </w:tc>
        <w:tc>
          <w:tcPr>
            <w:tcW w:w="1125" w:type="dxa"/>
            <w:tcBorders>
              <w:top w:val="nil"/>
              <w:left w:val="nil"/>
              <w:bottom w:val="single" w:sz="8" w:space="0" w:color="auto"/>
              <w:right w:val="single" w:sz="8" w:space="0" w:color="auto"/>
            </w:tcBorders>
            <w:shd w:val="clear" w:color="auto" w:fill="auto"/>
            <w:vAlign w:val="bottom"/>
            <w:hideMark/>
          </w:tcPr>
          <w:p w:rsidR="00C02E42" w:rsidRPr="003401CC" w:rsidRDefault="00C02E42" w:rsidP="003401CC">
            <w:pPr>
              <w:jc w:val="center"/>
              <w:rPr>
                <w:rFonts w:eastAsia="Times New Roman" w:cs="Arial"/>
                <w:color w:val="000000"/>
              </w:rPr>
            </w:pPr>
            <w:r w:rsidRPr="003401CC">
              <w:rPr>
                <w:rFonts w:eastAsia="Times New Roman" w:cs="Arial"/>
                <w:color w:val="000000"/>
              </w:rPr>
              <w:t>Code</w:t>
            </w:r>
          </w:p>
        </w:tc>
        <w:tc>
          <w:tcPr>
            <w:tcW w:w="1195" w:type="dxa"/>
            <w:tcBorders>
              <w:top w:val="nil"/>
              <w:left w:val="nil"/>
              <w:bottom w:val="single" w:sz="8" w:space="0" w:color="auto"/>
              <w:right w:val="single" w:sz="8" w:space="0" w:color="auto"/>
            </w:tcBorders>
            <w:shd w:val="clear" w:color="auto" w:fill="auto"/>
            <w:vAlign w:val="bottom"/>
            <w:hideMark/>
          </w:tcPr>
          <w:p w:rsidR="00C02E42" w:rsidRDefault="00C02E42">
            <w:pPr>
              <w:jc w:val="center"/>
              <w:rPr>
                <w:rFonts w:cs="Arial"/>
                <w:color w:val="000000"/>
              </w:rPr>
            </w:pPr>
            <w:r>
              <w:rPr>
                <w:rFonts w:cs="Arial"/>
                <w:color w:val="000000"/>
              </w:rPr>
              <w:t xml:space="preserve">$660.00 </w:t>
            </w:r>
          </w:p>
        </w:tc>
        <w:tc>
          <w:tcPr>
            <w:tcW w:w="1173" w:type="dxa"/>
            <w:tcBorders>
              <w:top w:val="nil"/>
              <w:left w:val="nil"/>
              <w:bottom w:val="single" w:sz="8" w:space="0" w:color="auto"/>
              <w:right w:val="single" w:sz="8" w:space="0" w:color="auto"/>
            </w:tcBorders>
            <w:shd w:val="clear" w:color="auto" w:fill="auto"/>
            <w:vAlign w:val="bottom"/>
            <w:hideMark/>
          </w:tcPr>
          <w:p w:rsidR="00C02E42" w:rsidRDefault="009C071D">
            <w:pPr>
              <w:jc w:val="center"/>
              <w:rPr>
                <w:rFonts w:cs="Arial"/>
                <w:color w:val="000000"/>
              </w:rPr>
            </w:pPr>
            <w:r>
              <w:rPr>
                <w:rFonts w:cs="Arial"/>
                <w:color w:val="000000"/>
              </w:rPr>
              <w:t>$321.2</w:t>
            </w:r>
            <w:r w:rsidR="00C02E42">
              <w:rPr>
                <w:rFonts w:cs="Arial"/>
                <w:color w:val="000000"/>
              </w:rPr>
              <w:t xml:space="preserve"> </w:t>
            </w:r>
          </w:p>
        </w:tc>
        <w:tc>
          <w:tcPr>
            <w:tcW w:w="1362" w:type="dxa"/>
            <w:tcBorders>
              <w:top w:val="nil"/>
              <w:left w:val="nil"/>
              <w:bottom w:val="single" w:sz="8" w:space="0" w:color="auto"/>
              <w:right w:val="single" w:sz="8" w:space="0" w:color="auto"/>
            </w:tcBorders>
            <w:shd w:val="clear" w:color="auto" w:fill="auto"/>
            <w:vAlign w:val="bottom"/>
            <w:hideMark/>
          </w:tcPr>
          <w:p w:rsidR="00C02E42" w:rsidRDefault="00C02E42">
            <w:pPr>
              <w:jc w:val="center"/>
              <w:rPr>
                <w:rFonts w:cs="Arial"/>
                <w:color w:val="000000"/>
              </w:rPr>
            </w:pPr>
            <w:r>
              <w:rPr>
                <w:rFonts w:cs="Arial"/>
                <w:color w:val="000000"/>
              </w:rPr>
              <w:t xml:space="preserve">$0 </w:t>
            </w:r>
          </w:p>
        </w:tc>
        <w:tc>
          <w:tcPr>
            <w:tcW w:w="1106" w:type="dxa"/>
            <w:tcBorders>
              <w:top w:val="nil"/>
              <w:left w:val="nil"/>
              <w:bottom w:val="single" w:sz="8" w:space="0" w:color="auto"/>
              <w:right w:val="single" w:sz="8" w:space="0" w:color="auto"/>
            </w:tcBorders>
            <w:shd w:val="clear" w:color="auto" w:fill="auto"/>
            <w:vAlign w:val="bottom"/>
            <w:hideMark/>
          </w:tcPr>
          <w:p w:rsidR="00C02E42" w:rsidRDefault="009C071D">
            <w:pPr>
              <w:jc w:val="center"/>
              <w:rPr>
                <w:rFonts w:cs="Arial"/>
                <w:color w:val="000000"/>
              </w:rPr>
            </w:pPr>
            <w:r>
              <w:rPr>
                <w:rFonts w:cs="Arial"/>
                <w:color w:val="000000"/>
              </w:rPr>
              <w:t>$981.20</w:t>
            </w:r>
            <w:r w:rsidR="00C02E42">
              <w:rPr>
                <w:rFonts w:cs="Arial"/>
                <w:color w:val="000000"/>
              </w:rPr>
              <w:t xml:space="preserve"> </w:t>
            </w:r>
          </w:p>
        </w:tc>
      </w:tr>
    </w:tbl>
    <w:p w:rsidR="00C87111" w:rsidRPr="00D17CA5" w:rsidRDefault="003401CC" w:rsidP="00D17CA5">
      <w:pPr>
        <w:ind w:firstLine="360"/>
        <w:rPr>
          <w:i/>
          <w:iCs/>
        </w:rPr>
      </w:pPr>
      <w:r w:rsidRPr="0077159C">
        <w:rPr>
          <w:i/>
          <w:iCs/>
        </w:rPr>
        <w:lastRenderedPageBreak/>
        <w:t>All costs are noted as $ per measure unit</w:t>
      </w:r>
    </w:p>
    <w:p w:rsidR="00C87111" w:rsidRPr="00D92689" w:rsidRDefault="00C87111" w:rsidP="003401CC">
      <w:pPr>
        <w:pStyle w:val="WPPR1"/>
        <w:numPr>
          <w:ilvl w:val="0"/>
          <w:numId w:val="0"/>
        </w:numPr>
        <w:spacing w:before="0"/>
        <w:ind w:left="1152"/>
      </w:pPr>
    </w:p>
    <w:p w:rsidR="001C644E" w:rsidRDefault="001C644E" w:rsidP="003F2BB3">
      <w:pPr>
        <w:pStyle w:val="WPART"/>
      </w:pPr>
      <w:bookmarkStart w:id="43" w:name="_Toc214003098"/>
      <w:r>
        <w:t xml:space="preserve"> </w:t>
      </w:r>
      <w:bookmarkStart w:id="44" w:name="_Toc357762666"/>
      <w:r>
        <w:t>Gross Measure Cost</w:t>
      </w:r>
      <w:bookmarkEnd w:id="43"/>
      <w:bookmarkEnd w:id="44"/>
    </w:p>
    <w:p w:rsidR="003401CC" w:rsidRPr="0077159C" w:rsidRDefault="003401CC" w:rsidP="003401CC">
      <w:pPr>
        <w:pStyle w:val="PR1"/>
      </w:pPr>
      <w:r w:rsidRPr="0077159C">
        <w:t xml:space="preserve">Gross Measure Cost is the cost to install an energy efficient measure per the CPUC calculators. This definition implies a different meaning depending on the Measure Application type. </w:t>
      </w:r>
    </w:p>
    <w:p w:rsidR="003401CC" w:rsidRPr="0077159C" w:rsidRDefault="003401CC" w:rsidP="003401CC"/>
    <w:p w:rsidR="003401CC" w:rsidRPr="0077159C" w:rsidRDefault="003401CC" w:rsidP="003401CC">
      <w:pPr>
        <w:ind w:left="1080"/>
      </w:pPr>
      <w:r w:rsidRPr="0077159C">
        <w:t>This Measure Application Types are: NC or ROB, so the Gross Measure Cost (GMC) is represented by the equation below (choose):</w:t>
      </w:r>
    </w:p>
    <w:p w:rsidR="003401CC" w:rsidRPr="0077159C" w:rsidRDefault="003401CC" w:rsidP="003401CC"/>
    <w:p w:rsidR="003401CC" w:rsidRPr="0077159C" w:rsidRDefault="003401CC" w:rsidP="003401CC">
      <w:pPr>
        <w:ind w:left="360" w:firstLine="720"/>
        <w:rPr>
          <w:i/>
          <w:iCs/>
          <w:highlight w:val="yellow"/>
        </w:rPr>
      </w:pPr>
      <w:r w:rsidRPr="0077159C">
        <w:t xml:space="preserve">GMC = Measure Equipment Cost </w:t>
      </w:r>
      <w:r w:rsidR="00780145">
        <w:t>+ Labor Cost</w:t>
      </w:r>
    </w:p>
    <w:p w:rsidR="003401CC" w:rsidRPr="0077159C" w:rsidRDefault="003401CC" w:rsidP="003401CC">
      <w:pPr>
        <w:ind w:firstLine="720"/>
        <w:rPr>
          <w:i/>
          <w:iCs/>
        </w:rPr>
      </w:pPr>
      <w:r w:rsidRPr="0077159C">
        <w:rPr>
          <w:i/>
          <w:iCs/>
        </w:rPr>
        <w:t xml:space="preserve">             </w:t>
      </w:r>
    </w:p>
    <w:p w:rsidR="003401CC" w:rsidRDefault="003401CC" w:rsidP="003401CC">
      <w:pPr>
        <w:ind w:left="1080"/>
      </w:pPr>
      <w:r w:rsidRPr="0077159C">
        <w:t>*Note: Various complicated price fluctuations are not addressed in these equations, such as future costs due to inflation in labor, future costs due to deflation in material cost, and other variables that cannot be accurately describ</w:t>
      </w:r>
      <w:r w:rsidR="00CE068A">
        <w:t xml:space="preserve">ed at this time. </w:t>
      </w:r>
      <w:r w:rsidRPr="0077159C">
        <w:t>We assume that, unless stated otherwise, the measure case labor and base case labor are assumed to be the same value.</w:t>
      </w:r>
    </w:p>
    <w:p w:rsidR="003401CC" w:rsidRPr="0077159C" w:rsidRDefault="003401CC" w:rsidP="003401CC">
      <w:pPr>
        <w:ind w:left="1080"/>
        <w:rPr>
          <w:i/>
          <w:iCs/>
        </w:rPr>
      </w:pPr>
    </w:p>
    <w:p w:rsidR="00877B4F" w:rsidRDefault="00877B4F" w:rsidP="00877B4F">
      <w:pPr>
        <w:pStyle w:val="PR1"/>
      </w:pPr>
      <w:r>
        <w:t xml:space="preserve">Tables </w:t>
      </w:r>
      <w:r w:rsidR="001B5319">
        <w:t>8</w:t>
      </w:r>
      <w:r>
        <w:t xml:space="preserve"> </w:t>
      </w:r>
      <w:r w:rsidR="00C02E42">
        <w:t>through</w:t>
      </w:r>
      <w:r>
        <w:t xml:space="preserve"> 1</w:t>
      </w:r>
      <w:r w:rsidR="001E3570">
        <w:t>1</w:t>
      </w:r>
      <w:r w:rsidRPr="00877B4F">
        <w:t xml:space="preserve"> list the results of a survey of equipment vendors that sell </w:t>
      </w:r>
      <w:r>
        <w:t>gas furnaces</w:t>
      </w:r>
      <w:r w:rsidRPr="00877B4F">
        <w:t xml:space="preserve">.  The burner capacity of these units ranged from </w:t>
      </w:r>
      <w:r w:rsidR="00C02E42">
        <w:t>38</w:t>
      </w:r>
      <w:r w:rsidRPr="00877B4F">
        <w:t xml:space="preserve"> to </w:t>
      </w:r>
      <w:r w:rsidR="00AF128D">
        <w:t>135</w:t>
      </w:r>
      <w:r w:rsidRPr="00877B4F">
        <w:t xml:space="preserve"> </w:t>
      </w:r>
      <w:r w:rsidR="00AF128D">
        <w:t>k</w:t>
      </w:r>
      <w:r w:rsidRPr="00877B4F">
        <w:t>Btuh.  The gross measure costs shown in Table</w:t>
      </w:r>
      <w:r>
        <w:t>s</w:t>
      </w:r>
      <w:r w:rsidRPr="00877B4F">
        <w:t xml:space="preserve"> </w:t>
      </w:r>
      <w:r w:rsidR="001B5319">
        <w:t>8</w:t>
      </w:r>
      <w:r>
        <w:t xml:space="preserve"> </w:t>
      </w:r>
      <w:r w:rsidR="00C02E42">
        <w:t>through</w:t>
      </w:r>
      <w:r>
        <w:t xml:space="preserve"> 1</w:t>
      </w:r>
      <w:r w:rsidR="001E3570">
        <w:t>1</w:t>
      </w:r>
      <w:r w:rsidRPr="00877B4F">
        <w:t xml:space="preserve"> represent an arithmetic average of the equipment cost.  The cost data and calculations are included in an Exc</w:t>
      </w:r>
      <w:r w:rsidR="00F14B20">
        <w:t>el, Attachment B</w:t>
      </w:r>
      <w:r>
        <w:t>, “</w:t>
      </w:r>
      <w:r w:rsidR="00C13DF9">
        <w:t>WPSCGREHC130115A_r</w:t>
      </w:r>
      <w:r w:rsidRPr="006F0B63">
        <w:t>ev</w:t>
      </w:r>
      <w:r w:rsidR="00C13DF9">
        <w:t>3</w:t>
      </w:r>
      <w:r w:rsidRPr="006F0B63">
        <w:t>_cost_data.xlsx</w:t>
      </w:r>
      <w:r w:rsidRPr="008F6C15">
        <w:t>.</w:t>
      </w:r>
      <w:r>
        <w:t>”</w:t>
      </w:r>
    </w:p>
    <w:p w:rsidR="00877B4F" w:rsidRDefault="00877B4F" w:rsidP="00877B4F">
      <w:pPr>
        <w:pStyle w:val="PR2"/>
      </w:pPr>
      <w:r w:rsidRPr="00877B4F">
        <w:t>Data from DEER2008 v2.05 [4] was used to estimate the installation labor costs. The installation cost per kBtuh in the DEER2008 2.05 database is the same regardless of the measure case efficiency. Cost case IDs EffFurn-78AFUE, EffFurn-cond-94AFUE, EffFurn-cond-96AFUE all show an installation labor cost of $5.84/kBtuh.</w:t>
      </w:r>
    </w:p>
    <w:p w:rsidR="002B26A6" w:rsidRDefault="002B26A6" w:rsidP="00877B4F">
      <w:pPr>
        <w:pStyle w:val="PR2"/>
      </w:pPr>
      <w:r>
        <w:t>Although DEER includes installation cost multipliers by climate zone, these were not applied to the installation cost because the installation cost multipliers are irrelevant when determining the incremental measure cost. The installation cost is the same for a base case or measure case furnace.</w:t>
      </w:r>
    </w:p>
    <w:p w:rsidR="00AD3379" w:rsidRDefault="00AD3379" w:rsidP="00877B4F">
      <w:pPr>
        <w:pStyle w:val="PR2"/>
      </w:pPr>
      <w:r>
        <w:t xml:space="preserve">High efficiency furnaces are typically equipped with higher cost options than baseline furnaces that result in substantially higher equipment costs. These options include modulating gas valves and variable speed blower motors. </w:t>
      </w:r>
      <w:r w:rsidR="0086344D">
        <w:t>The cost for these (mandatory) options result in higher measure case equipment costs than a furnace without these options. This workpaper does not seek to compare base case and measure case furnaces with identical options, but to compare furnaces available in the marketplace for each thermal efficiency case.</w:t>
      </w:r>
    </w:p>
    <w:p w:rsidR="003401CC" w:rsidRPr="0077159C" w:rsidRDefault="003401CC" w:rsidP="003401CC">
      <w:r w:rsidRPr="0077159C">
        <w:t xml:space="preserve">  </w:t>
      </w:r>
    </w:p>
    <w:p w:rsidR="003401CC" w:rsidRDefault="003401CC" w:rsidP="003401CC">
      <w:pPr>
        <w:ind w:left="1080"/>
      </w:pPr>
    </w:p>
    <w:p w:rsidR="004E69B0" w:rsidRPr="00D37601" w:rsidRDefault="004E69B0" w:rsidP="001A3391">
      <w:pPr>
        <w:pStyle w:val="Caption"/>
      </w:pPr>
      <w:bookmarkStart w:id="45" w:name="_Toc384913200"/>
      <w:r>
        <w:t xml:space="preserve">Table </w:t>
      </w:r>
      <w:r w:rsidR="006F409E">
        <w:fldChar w:fldCharType="begin"/>
      </w:r>
      <w:r w:rsidR="00231A62">
        <w:instrText xml:space="preserve"> SEQ Table \* ARABIC </w:instrText>
      </w:r>
      <w:r w:rsidR="006F409E">
        <w:fldChar w:fldCharType="separate"/>
      </w:r>
      <w:r w:rsidR="003322A7">
        <w:rPr>
          <w:noProof/>
        </w:rPr>
        <w:t>8</w:t>
      </w:r>
      <w:r w:rsidR="006F409E">
        <w:rPr>
          <w:noProof/>
        </w:rPr>
        <w:fldChar w:fldCharType="end"/>
      </w:r>
      <w:r>
        <w:t xml:space="preserve">: </w:t>
      </w:r>
      <w:r w:rsidRPr="00250184">
        <w:t>Measure Case Costs</w:t>
      </w:r>
      <w:r w:rsidR="00AD22C9">
        <w:t xml:space="preserve"> for </w:t>
      </w:r>
      <w:r w:rsidRPr="00250184">
        <w:t>≥ 92% &amp; &lt; 95% AFUE (per furnace)</w:t>
      </w:r>
      <w:bookmarkEnd w:id="45"/>
    </w:p>
    <w:tbl>
      <w:tblPr>
        <w:tblW w:w="7367" w:type="dxa"/>
        <w:jc w:val="center"/>
        <w:tblBorders>
          <w:top w:val="single" w:sz="8" w:space="0" w:color="auto"/>
          <w:left w:val="single" w:sz="4"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3"/>
        <w:gridCol w:w="1195"/>
        <w:gridCol w:w="1192"/>
        <w:gridCol w:w="1173"/>
        <w:gridCol w:w="1362"/>
        <w:gridCol w:w="1152"/>
      </w:tblGrid>
      <w:tr w:rsidR="00671D77" w:rsidRPr="00D37601" w:rsidTr="00671D77">
        <w:trPr>
          <w:trHeight w:val="1050"/>
          <w:jc w:val="center"/>
        </w:trPr>
        <w:tc>
          <w:tcPr>
            <w:tcW w:w="1293" w:type="dxa"/>
            <w:shd w:val="clear" w:color="auto" w:fill="auto"/>
            <w:vAlign w:val="bottom"/>
            <w:hideMark/>
          </w:tcPr>
          <w:p w:rsidR="00671D77" w:rsidRPr="00D37601" w:rsidRDefault="00671D77" w:rsidP="004E69B0">
            <w:pPr>
              <w:keepNext/>
              <w:jc w:val="center"/>
            </w:pPr>
            <w:r w:rsidRPr="00D37601">
              <w:t>Building Type</w:t>
            </w:r>
          </w:p>
        </w:tc>
        <w:tc>
          <w:tcPr>
            <w:tcW w:w="1195" w:type="dxa"/>
            <w:shd w:val="clear" w:color="auto" w:fill="auto"/>
            <w:vAlign w:val="bottom"/>
            <w:hideMark/>
          </w:tcPr>
          <w:p w:rsidR="00671D77" w:rsidRPr="00D37601" w:rsidRDefault="00671D77" w:rsidP="004E69B0">
            <w:pPr>
              <w:keepNext/>
              <w:jc w:val="center"/>
            </w:pPr>
            <w:r w:rsidRPr="00D37601">
              <w:t>Measure Application Type</w:t>
            </w:r>
          </w:p>
        </w:tc>
        <w:tc>
          <w:tcPr>
            <w:tcW w:w="1192" w:type="dxa"/>
            <w:shd w:val="clear" w:color="auto" w:fill="auto"/>
            <w:vAlign w:val="bottom"/>
            <w:hideMark/>
          </w:tcPr>
          <w:p w:rsidR="00671D77" w:rsidRPr="00D37601" w:rsidRDefault="00671D77" w:rsidP="004E69B0">
            <w:pPr>
              <w:keepNext/>
              <w:jc w:val="center"/>
            </w:pPr>
            <w:r w:rsidRPr="00D37601">
              <w:t>Equipment Cost</w:t>
            </w:r>
          </w:p>
        </w:tc>
        <w:tc>
          <w:tcPr>
            <w:tcW w:w="1173" w:type="dxa"/>
            <w:shd w:val="clear" w:color="auto" w:fill="auto"/>
            <w:vAlign w:val="bottom"/>
            <w:hideMark/>
          </w:tcPr>
          <w:p w:rsidR="00671D77" w:rsidRPr="00D37601" w:rsidRDefault="00671D77" w:rsidP="004E69B0">
            <w:pPr>
              <w:keepNext/>
              <w:jc w:val="center"/>
            </w:pPr>
            <w:r w:rsidRPr="00D37601">
              <w:t>Labor / Installation Cost</w:t>
            </w:r>
          </w:p>
        </w:tc>
        <w:tc>
          <w:tcPr>
            <w:tcW w:w="1362" w:type="dxa"/>
            <w:shd w:val="clear" w:color="auto" w:fill="auto"/>
            <w:vAlign w:val="bottom"/>
            <w:hideMark/>
          </w:tcPr>
          <w:p w:rsidR="00671D77" w:rsidRPr="00D37601" w:rsidRDefault="00671D77" w:rsidP="004E69B0">
            <w:pPr>
              <w:keepNext/>
              <w:jc w:val="center"/>
            </w:pPr>
            <w:r w:rsidRPr="00D37601">
              <w:t>Maintenance / Other Cost</w:t>
            </w:r>
          </w:p>
        </w:tc>
        <w:tc>
          <w:tcPr>
            <w:tcW w:w="1152" w:type="dxa"/>
            <w:shd w:val="clear" w:color="auto" w:fill="auto"/>
            <w:vAlign w:val="bottom"/>
            <w:hideMark/>
          </w:tcPr>
          <w:p w:rsidR="00671D77" w:rsidRPr="00D37601" w:rsidRDefault="00671D77" w:rsidP="004E69B0">
            <w:pPr>
              <w:keepNext/>
              <w:jc w:val="center"/>
            </w:pPr>
            <w:r w:rsidRPr="00D37601">
              <w:t>Total Measure Case Cost</w:t>
            </w:r>
          </w:p>
        </w:tc>
      </w:tr>
      <w:tr w:rsidR="00671D77" w:rsidRPr="00D37601" w:rsidTr="00671D77">
        <w:trPr>
          <w:trHeight w:val="540"/>
          <w:jc w:val="center"/>
        </w:trPr>
        <w:tc>
          <w:tcPr>
            <w:tcW w:w="1293" w:type="dxa"/>
            <w:shd w:val="clear" w:color="auto" w:fill="auto"/>
            <w:vAlign w:val="bottom"/>
            <w:hideMark/>
          </w:tcPr>
          <w:p w:rsidR="00671D77" w:rsidRDefault="00671D77">
            <w:pPr>
              <w:jc w:val="center"/>
              <w:rPr>
                <w:rFonts w:cs="Arial"/>
                <w:color w:val="000000"/>
              </w:rPr>
            </w:pPr>
            <w:r>
              <w:rPr>
                <w:rFonts w:cs="Arial"/>
                <w:color w:val="000000"/>
              </w:rPr>
              <w:t>SFM</w:t>
            </w:r>
          </w:p>
        </w:tc>
        <w:tc>
          <w:tcPr>
            <w:tcW w:w="1195" w:type="dxa"/>
            <w:shd w:val="clear" w:color="auto" w:fill="auto"/>
            <w:vAlign w:val="bottom"/>
            <w:hideMark/>
          </w:tcPr>
          <w:p w:rsidR="00671D77" w:rsidRDefault="00671D77">
            <w:pPr>
              <w:jc w:val="center"/>
              <w:rPr>
                <w:rFonts w:cs="Arial"/>
                <w:color w:val="000000"/>
              </w:rPr>
            </w:pPr>
            <w:r>
              <w:rPr>
                <w:rFonts w:cs="Arial"/>
                <w:color w:val="000000"/>
              </w:rPr>
              <w:t>ROB, NC</w:t>
            </w:r>
          </w:p>
        </w:tc>
        <w:tc>
          <w:tcPr>
            <w:tcW w:w="1192" w:type="dxa"/>
            <w:shd w:val="clear" w:color="auto" w:fill="auto"/>
            <w:vAlign w:val="bottom"/>
            <w:hideMark/>
          </w:tcPr>
          <w:p w:rsidR="00671D77" w:rsidRDefault="00671D77">
            <w:pPr>
              <w:jc w:val="center"/>
              <w:rPr>
                <w:rFonts w:cs="Arial"/>
                <w:color w:val="000000"/>
              </w:rPr>
            </w:pPr>
            <w:r>
              <w:rPr>
                <w:rFonts w:cs="Arial"/>
                <w:color w:val="000000"/>
              </w:rPr>
              <w:t xml:space="preserve">$898.43 </w:t>
            </w:r>
          </w:p>
        </w:tc>
        <w:tc>
          <w:tcPr>
            <w:tcW w:w="1173" w:type="dxa"/>
            <w:shd w:val="clear" w:color="auto" w:fill="auto"/>
            <w:vAlign w:val="bottom"/>
            <w:hideMark/>
          </w:tcPr>
          <w:p w:rsidR="00671D77" w:rsidRDefault="00671D77">
            <w:pPr>
              <w:jc w:val="center"/>
              <w:rPr>
                <w:rFonts w:cs="Arial"/>
                <w:color w:val="000000"/>
              </w:rPr>
            </w:pPr>
            <w:r>
              <w:rPr>
                <w:rFonts w:cs="Arial"/>
                <w:color w:val="000000"/>
              </w:rPr>
              <w:t xml:space="preserve">$373.18 </w:t>
            </w:r>
          </w:p>
        </w:tc>
        <w:tc>
          <w:tcPr>
            <w:tcW w:w="1362" w:type="dxa"/>
            <w:shd w:val="clear" w:color="auto" w:fill="auto"/>
            <w:vAlign w:val="bottom"/>
            <w:hideMark/>
          </w:tcPr>
          <w:p w:rsidR="00671D77" w:rsidRDefault="00671D77">
            <w:pPr>
              <w:jc w:val="center"/>
              <w:rPr>
                <w:rFonts w:cs="Arial"/>
                <w:color w:val="000000"/>
              </w:rPr>
            </w:pPr>
            <w:r>
              <w:rPr>
                <w:rFonts w:cs="Arial"/>
                <w:color w:val="000000"/>
              </w:rPr>
              <w:t xml:space="preserve">$0 </w:t>
            </w:r>
          </w:p>
        </w:tc>
        <w:tc>
          <w:tcPr>
            <w:tcW w:w="1152" w:type="dxa"/>
            <w:shd w:val="clear" w:color="auto" w:fill="auto"/>
            <w:vAlign w:val="bottom"/>
            <w:hideMark/>
          </w:tcPr>
          <w:p w:rsidR="00671D77" w:rsidRDefault="00671D77">
            <w:pPr>
              <w:jc w:val="center"/>
              <w:rPr>
                <w:rFonts w:cs="Arial"/>
                <w:color w:val="000000"/>
              </w:rPr>
            </w:pPr>
            <w:r>
              <w:rPr>
                <w:rFonts w:cs="Arial"/>
                <w:color w:val="000000"/>
              </w:rPr>
              <w:t xml:space="preserve">$1,271.61 </w:t>
            </w:r>
          </w:p>
        </w:tc>
      </w:tr>
      <w:tr w:rsidR="00671D77" w:rsidRPr="00D37601" w:rsidTr="00671D77">
        <w:trPr>
          <w:trHeight w:val="540"/>
          <w:jc w:val="center"/>
        </w:trPr>
        <w:tc>
          <w:tcPr>
            <w:tcW w:w="1293" w:type="dxa"/>
            <w:shd w:val="clear" w:color="auto" w:fill="auto"/>
            <w:vAlign w:val="bottom"/>
            <w:hideMark/>
          </w:tcPr>
          <w:p w:rsidR="00671D77" w:rsidRDefault="00671D77">
            <w:pPr>
              <w:jc w:val="center"/>
              <w:rPr>
                <w:rFonts w:cs="Arial"/>
                <w:color w:val="000000"/>
              </w:rPr>
            </w:pPr>
            <w:r>
              <w:rPr>
                <w:rFonts w:cs="Arial"/>
                <w:color w:val="000000"/>
              </w:rPr>
              <w:t>MFm</w:t>
            </w:r>
          </w:p>
        </w:tc>
        <w:tc>
          <w:tcPr>
            <w:tcW w:w="1195" w:type="dxa"/>
            <w:shd w:val="clear" w:color="auto" w:fill="auto"/>
            <w:vAlign w:val="bottom"/>
            <w:hideMark/>
          </w:tcPr>
          <w:p w:rsidR="00671D77" w:rsidRDefault="00671D77">
            <w:pPr>
              <w:jc w:val="center"/>
              <w:rPr>
                <w:rFonts w:cs="Arial"/>
                <w:color w:val="000000"/>
              </w:rPr>
            </w:pPr>
            <w:r>
              <w:rPr>
                <w:rFonts w:cs="Arial"/>
                <w:color w:val="000000"/>
              </w:rPr>
              <w:t>ROB, NC</w:t>
            </w:r>
          </w:p>
        </w:tc>
        <w:tc>
          <w:tcPr>
            <w:tcW w:w="1192" w:type="dxa"/>
            <w:shd w:val="clear" w:color="auto" w:fill="auto"/>
            <w:vAlign w:val="bottom"/>
            <w:hideMark/>
          </w:tcPr>
          <w:p w:rsidR="00671D77" w:rsidRDefault="00671D77">
            <w:pPr>
              <w:jc w:val="center"/>
              <w:rPr>
                <w:rFonts w:cs="Arial"/>
                <w:color w:val="000000"/>
              </w:rPr>
            </w:pPr>
            <w:r>
              <w:rPr>
                <w:rFonts w:cs="Arial"/>
                <w:color w:val="000000"/>
              </w:rPr>
              <w:t xml:space="preserve">$451.33 </w:t>
            </w:r>
          </w:p>
        </w:tc>
        <w:tc>
          <w:tcPr>
            <w:tcW w:w="1173" w:type="dxa"/>
            <w:shd w:val="clear" w:color="auto" w:fill="auto"/>
            <w:vAlign w:val="bottom"/>
            <w:hideMark/>
          </w:tcPr>
          <w:p w:rsidR="00671D77" w:rsidRDefault="00671D77">
            <w:pPr>
              <w:jc w:val="center"/>
              <w:rPr>
                <w:rFonts w:cs="Arial"/>
                <w:color w:val="000000"/>
              </w:rPr>
            </w:pPr>
            <w:r>
              <w:rPr>
                <w:rFonts w:cs="Arial"/>
                <w:color w:val="000000"/>
              </w:rPr>
              <w:t xml:space="preserve">$187.46 </w:t>
            </w:r>
          </w:p>
        </w:tc>
        <w:tc>
          <w:tcPr>
            <w:tcW w:w="1362" w:type="dxa"/>
            <w:shd w:val="clear" w:color="auto" w:fill="auto"/>
            <w:vAlign w:val="bottom"/>
            <w:hideMark/>
          </w:tcPr>
          <w:p w:rsidR="00671D77" w:rsidRDefault="00671D77">
            <w:pPr>
              <w:jc w:val="center"/>
              <w:rPr>
                <w:rFonts w:cs="Arial"/>
                <w:color w:val="000000"/>
              </w:rPr>
            </w:pPr>
            <w:r>
              <w:rPr>
                <w:rFonts w:cs="Arial"/>
                <w:color w:val="000000"/>
              </w:rPr>
              <w:t xml:space="preserve">$0 </w:t>
            </w:r>
          </w:p>
        </w:tc>
        <w:tc>
          <w:tcPr>
            <w:tcW w:w="1152" w:type="dxa"/>
            <w:shd w:val="clear" w:color="auto" w:fill="auto"/>
            <w:vAlign w:val="bottom"/>
            <w:hideMark/>
          </w:tcPr>
          <w:p w:rsidR="00671D77" w:rsidRDefault="00671D77">
            <w:pPr>
              <w:jc w:val="center"/>
              <w:rPr>
                <w:rFonts w:cs="Arial"/>
                <w:color w:val="000000"/>
              </w:rPr>
            </w:pPr>
            <w:r>
              <w:rPr>
                <w:rFonts w:cs="Arial"/>
                <w:color w:val="000000"/>
              </w:rPr>
              <w:t xml:space="preserve">$638.79 </w:t>
            </w:r>
          </w:p>
        </w:tc>
      </w:tr>
      <w:tr w:rsidR="00671D77" w:rsidRPr="00D37601" w:rsidTr="00671D77">
        <w:trPr>
          <w:trHeight w:val="540"/>
          <w:jc w:val="center"/>
        </w:trPr>
        <w:tc>
          <w:tcPr>
            <w:tcW w:w="1293" w:type="dxa"/>
            <w:shd w:val="clear" w:color="auto" w:fill="auto"/>
            <w:vAlign w:val="bottom"/>
            <w:hideMark/>
          </w:tcPr>
          <w:p w:rsidR="00671D77" w:rsidRDefault="00671D77">
            <w:pPr>
              <w:jc w:val="center"/>
              <w:rPr>
                <w:rFonts w:cs="Arial"/>
                <w:color w:val="000000"/>
              </w:rPr>
            </w:pPr>
            <w:r>
              <w:rPr>
                <w:rFonts w:cs="Arial"/>
                <w:color w:val="000000"/>
              </w:rPr>
              <w:lastRenderedPageBreak/>
              <w:t>DMO</w:t>
            </w:r>
          </w:p>
        </w:tc>
        <w:tc>
          <w:tcPr>
            <w:tcW w:w="1195" w:type="dxa"/>
            <w:shd w:val="clear" w:color="auto" w:fill="auto"/>
            <w:vAlign w:val="bottom"/>
            <w:hideMark/>
          </w:tcPr>
          <w:p w:rsidR="00671D77" w:rsidRDefault="00671D77">
            <w:pPr>
              <w:jc w:val="center"/>
              <w:rPr>
                <w:rFonts w:cs="Arial"/>
                <w:color w:val="000000"/>
              </w:rPr>
            </w:pPr>
            <w:r>
              <w:rPr>
                <w:rFonts w:cs="Arial"/>
                <w:color w:val="000000"/>
              </w:rPr>
              <w:t>ROB, NC</w:t>
            </w:r>
          </w:p>
        </w:tc>
        <w:tc>
          <w:tcPr>
            <w:tcW w:w="1192" w:type="dxa"/>
            <w:shd w:val="clear" w:color="auto" w:fill="auto"/>
            <w:vAlign w:val="bottom"/>
            <w:hideMark/>
          </w:tcPr>
          <w:p w:rsidR="00671D77" w:rsidRDefault="00671D77">
            <w:pPr>
              <w:jc w:val="center"/>
              <w:rPr>
                <w:rFonts w:cs="Arial"/>
                <w:color w:val="000000"/>
              </w:rPr>
            </w:pPr>
            <w:r>
              <w:rPr>
                <w:rFonts w:cs="Arial"/>
                <w:color w:val="000000"/>
              </w:rPr>
              <w:t xml:space="preserve">$773.30 </w:t>
            </w:r>
          </w:p>
        </w:tc>
        <w:tc>
          <w:tcPr>
            <w:tcW w:w="1173" w:type="dxa"/>
            <w:shd w:val="clear" w:color="auto" w:fill="auto"/>
            <w:vAlign w:val="bottom"/>
            <w:hideMark/>
          </w:tcPr>
          <w:p w:rsidR="00671D77" w:rsidRDefault="00671D77">
            <w:pPr>
              <w:jc w:val="center"/>
              <w:rPr>
                <w:rFonts w:cs="Arial"/>
                <w:color w:val="000000"/>
              </w:rPr>
            </w:pPr>
            <w:r>
              <w:rPr>
                <w:rFonts w:cs="Arial"/>
                <w:color w:val="000000"/>
              </w:rPr>
              <w:t xml:space="preserve">$321.20 </w:t>
            </w:r>
          </w:p>
        </w:tc>
        <w:tc>
          <w:tcPr>
            <w:tcW w:w="1362" w:type="dxa"/>
            <w:shd w:val="clear" w:color="auto" w:fill="auto"/>
            <w:vAlign w:val="bottom"/>
            <w:hideMark/>
          </w:tcPr>
          <w:p w:rsidR="00671D77" w:rsidRDefault="00671D77">
            <w:pPr>
              <w:jc w:val="center"/>
              <w:rPr>
                <w:rFonts w:cs="Arial"/>
                <w:color w:val="000000"/>
              </w:rPr>
            </w:pPr>
            <w:r>
              <w:rPr>
                <w:rFonts w:cs="Arial"/>
                <w:color w:val="000000"/>
              </w:rPr>
              <w:t xml:space="preserve">$0 </w:t>
            </w:r>
          </w:p>
        </w:tc>
        <w:tc>
          <w:tcPr>
            <w:tcW w:w="1152" w:type="dxa"/>
            <w:shd w:val="clear" w:color="auto" w:fill="auto"/>
            <w:vAlign w:val="bottom"/>
            <w:hideMark/>
          </w:tcPr>
          <w:p w:rsidR="00671D77" w:rsidRDefault="00671D77">
            <w:pPr>
              <w:jc w:val="center"/>
              <w:rPr>
                <w:rFonts w:cs="Arial"/>
                <w:color w:val="000000"/>
              </w:rPr>
            </w:pPr>
            <w:r>
              <w:rPr>
                <w:rFonts w:cs="Arial"/>
                <w:color w:val="000000"/>
              </w:rPr>
              <w:t xml:space="preserve">$1,094.50 </w:t>
            </w:r>
          </w:p>
        </w:tc>
      </w:tr>
    </w:tbl>
    <w:p w:rsidR="004E69B0" w:rsidRDefault="004E69B0" w:rsidP="004E69B0">
      <w:pPr>
        <w:pStyle w:val="PR1"/>
        <w:numPr>
          <w:ilvl w:val="0"/>
          <w:numId w:val="0"/>
        </w:numPr>
        <w:spacing w:before="0"/>
        <w:ind w:left="1152"/>
      </w:pPr>
      <w:r w:rsidRPr="00D37601">
        <w:t>All costs are noted as $ per measure unit</w:t>
      </w:r>
    </w:p>
    <w:p w:rsidR="003401CC" w:rsidRPr="0077159C" w:rsidRDefault="003401CC" w:rsidP="003401CC">
      <w:pPr>
        <w:ind w:left="1080"/>
      </w:pPr>
    </w:p>
    <w:p w:rsidR="001A3391" w:rsidRPr="001A3391" w:rsidRDefault="00132837" w:rsidP="003322A7">
      <w:pPr>
        <w:pStyle w:val="Caption"/>
      </w:pPr>
      <w:bookmarkStart w:id="46" w:name="_Toc327873667"/>
      <w:bookmarkStart w:id="47" w:name="_Toc355245889"/>
      <w:bookmarkStart w:id="48" w:name="_Toc384913201"/>
      <w:r>
        <w:t xml:space="preserve">Table </w:t>
      </w:r>
      <w:r w:rsidR="006F409E">
        <w:fldChar w:fldCharType="begin"/>
      </w:r>
      <w:r w:rsidR="00231A62">
        <w:instrText xml:space="preserve"> SEQ Table \* ARABIC </w:instrText>
      </w:r>
      <w:r w:rsidR="006F409E">
        <w:fldChar w:fldCharType="separate"/>
      </w:r>
      <w:r w:rsidR="003322A7">
        <w:rPr>
          <w:noProof/>
        </w:rPr>
        <w:t>9</w:t>
      </w:r>
      <w:r w:rsidR="006F409E">
        <w:rPr>
          <w:noProof/>
        </w:rPr>
        <w:fldChar w:fldCharType="end"/>
      </w:r>
      <w:r w:rsidRPr="008F231F">
        <w:t>: Measure Case Costs</w:t>
      </w:r>
      <w:r w:rsidR="00AD22C9">
        <w:t xml:space="preserve"> for </w:t>
      </w:r>
      <w:r w:rsidRPr="008F231F">
        <w:t>≥ 95% &amp; &lt; 9</w:t>
      </w:r>
      <w:r w:rsidR="00AD22C9">
        <w:t>6</w:t>
      </w:r>
      <w:r w:rsidRPr="008F231F">
        <w:t>% AFUE (per furnace)</w:t>
      </w:r>
      <w:bookmarkEnd w:id="46"/>
      <w:bookmarkEnd w:id="47"/>
      <w:bookmarkEnd w:id="48"/>
    </w:p>
    <w:tbl>
      <w:tblPr>
        <w:tblW w:w="7373" w:type="dxa"/>
        <w:jc w:val="center"/>
        <w:tblBorders>
          <w:top w:val="single" w:sz="8" w:space="0" w:color="auto"/>
          <w:left w:val="single" w:sz="4"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76"/>
        <w:gridCol w:w="1195"/>
        <w:gridCol w:w="1217"/>
        <w:gridCol w:w="1173"/>
        <w:gridCol w:w="1362"/>
        <w:gridCol w:w="1150"/>
      </w:tblGrid>
      <w:tr w:rsidR="00671D77" w:rsidRPr="00D37601" w:rsidTr="00671D77">
        <w:trPr>
          <w:trHeight w:val="1050"/>
          <w:jc w:val="center"/>
        </w:trPr>
        <w:tc>
          <w:tcPr>
            <w:tcW w:w="1276" w:type="dxa"/>
            <w:shd w:val="clear" w:color="auto" w:fill="auto"/>
            <w:vAlign w:val="bottom"/>
            <w:hideMark/>
          </w:tcPr>
          <w:p w:rsidR="00671D77" w:rsidRPr="00D37601" w:rsidRDefault="00671D77" w:rsidP="00F97C9C">
            <w:pPr>
              <w:keepNext/>
              <w:jc w:val="center"/>
            </w:pPr>
            <w:r w:rsidRPr="00D37601">
              <w:t>Building Type</w:t>
            </w:r>
          </w:p>
        </w:tc>
        <w:tc>
          <w:tcPr>
            <w:tcW w:w="1195" w:type="dxa"/>
            <w:shd w:val="clear" w:color="auto" w:fill="auto"/>
            <w:vAlign w:val="bottom"/>
            <w:hideMark/>
          </w:tcPr>
          <w:p w:rsidR="00671D77" w:rsidRPr="00D37601" w:rsidRDefault="00671D77" w:rsidP="00F97C9C">
            <w:pPr>
              <w:keepNext/>
              <w:jc w:val="center"/>
            </w:pPr>
            <w:r w:rsidRPr="00D37601">
              <w:t>Measure Application Type</w:t>
            </w:r>
          </w:p>
        </w:tc>
        <w:tc>
          <w:tcPr>
            <w:tcW w:w="1217" w:type="dxa"/>
            <w:shd w:val="clear" w:color="auto" w:fill="auto"/>
            <w:vAlign w:val="bottom"/>
            <w:hideMark/>
          </w:tcPr>
          <w:p w:rsidR="00671D77" w:rsidRPr="00D37601" w:rsidRDefault="00671D77" w:rsidP="00F97C9C">
            <w:pPr>
              <w:keepNext/>
              <w:jc w:val="center"/>
            </w:pPr>
            <w:r w:rsidRPr="00D37601">
              <w:t>Equipment Cost</w:t>
            </w:r>
          </w:p>
        </w:tc>
        <w:tc>
          <w:tcPr>
            <w:tcW w:w="1173" w:type="dxa"/>
            <w:shd w:val="clear" w:color="auto" w:fill="auto"/>
            <w:vAlign w:val="bottom"/>
            <w:hideMark/>
          </w:tcPr>
          <w:p w:rsidR="00671D77" w:rsidRPr="00D37601" w:rsidRDefault="00671D77" w:rsidP="00F97C9C">
            <w:pPr>
              <w:keepNext/>
              <w:jc w:val="center"/>
            </w:pPr>
            <w:r w:rsidRPr="00D37601">
              <w:t>Labor / Installation Cost</w:t>
            </w:r>
          </w:p>
        </w:tc>
        <w:tc>
          <w:tcPr>
            <w:tcW w:w="1362" w:type="dxa"/>
            <w:shd w:val="clear" w:color="auto" w:fill="auto"/>
            <w:vAlign w:val="bottom"/>
            <w:hideMark/>
          </w:tcPr>
          <w:p w:rsidR="00671D77" w:rsidRPr="00D37601" w:rsidRDefault="00671D77" w:rsidP="00F97C9C">
            <w:pPr>
              <w:keepNext/>
              <w:jc w:val="center"/>
            </w:pPr>
            <w:r w:rsidRPr="00D37601">
              <w:t>Maintenance / Other Cost</w:t>
            </w:r>
          </w:p>
        </w:tc>
        <w:tc>
          <w:tcPr>
            <w:tcW w:w="1150" w:type="dxa"/>
            <w:shd w:val="clear" w:color="auto" w:fill="auto"/>
            <w:vAlign w:val="bottom"/>
            <w:hideMark/>
          </w:tcPr>
          <w:p w:rsidR="00671D77" w:rsidRPr="00D37601" w:rsidRDefault="00671D77" w:rsidP="00F97C9C">
            <w:pPr>
              <w:keepNext/>
              <w:jc w:val="center"/>
            </w:pPr>
            <w:r w:rsidRPr="00D37601">
              <w:t>Total Measure Case Cost</w:t>
            </w:r>
          </w:p>
        </w:tc>
      </w:tr>
      <w:tr w:rsidR="00671D77" w:rsidRPr="00D37601" w:rsidTr="00671D77">
        <w:trPr>
          <w:trHeight w:val="540"/>
          <w:jc w:val="center"/>
        </w:trPr>
        <w:tc>
          <w:tcPr>
            <w:tcW w:w="1276" w:type="dxa"/>
            <w:shd w:val="clear" w:color="auto" w:fill="auto"/>
            <w:vAlign w:val="bottom"/>
            <w:hideMark/>
          </w:tcPr>
          <w:p w:rsidR="00671D77" w:rsidRDefault="00671D77">
            <w:pPr>
              <w:jc w:val="center"/>
              <w:rPr>
                <w:rFonts w:cs="Arial"/>
                <w:color w:val="000000"/>
              </w:rPr>
            </w:pPr>
            <w:r>
              <w:rPr>
                <w:rFonts w:cs="Arial"/>
                <w:color w:val="000000"/>
              </w:rPr>
              <w:t>SFM</w:t>
            </w:r>
          </w:p>
        </w:tc>
        <w:tc>
          <w:tcPr>
            <w:tcW w:w="1195" w:type="dxa"/>
            <w:shd w:val="clear" w:color="auto" w:fill="auto"/>
            <w:vAlign w:val="bottom"/>
            <w:hideMark/>
          </w:tcPr>
          <w:p w:rsidR="00671D77" w:rsidRDefault="00671D77">
            <w:pPr>
              <w:jc w:val="center"/>
              <w:rPr>
                <w:rFonts w:cs="Arial"/>
                <w:color w:val="000000"/>
              </w:rPr>
            </w:pPr>
            <w:r>
              <w:rPr>
                <w:rFonts w:cs="Arial"/>
                <w:color w:val="000000"/>
              </w:rPr>
              <w:t>ROB, NC</w:t>
            </w:r>
          </w:p>
        </w:tc>
        <w:tc>
          <w:tcPr>
            <w:tcW w:w="1217" w:type="dxa"/>
            <w:shd w:val="clear" w:color="auto" w:fill="auto"/>
            <w:vAlign w:val="bottom"/>
            <w:hideMark/>
          </w:tcPr>
          <w:p w:rsidR="00671D77" w:rsidRDefault="00671D77" w:rsidP="009C071D">
            <w:pPr>
              <w:jc w:val="center"/>
              <w:rPr>
                <w:rFonts w:cs="Arial"/>
                <w:color w:val="000000"/>
              </w:rPr>
            </w:pPr>
            <w:r>
              <w:rPr>
                <w:rFonts w:cs="Arial"/>
                <w:color w:val="000000"/>
              </w:rPr>
              <w:t xml:space="preserve">$1,208.349 </w:t>
            </w:r>
          </w:p>
        </w:tc>
        <w:tc>
          <w:tcPr>
            <w:tcW w:w="1173" w:type="dxa"/>
            <w:shd w:val="clear" w:color="auto" w:fill="auto"/>
            <w:vAlign w:val="bottom"/>
            <w:hideMark/>
          </w:tcPr>
          <w:p w:rsidR="00671D77" w:rsidRDefault="00671D77" w:rsidP="00D45FBB">
            <w:pPr>
              <w:jc w:val="center"/>
              <w:rPr>
                <w:rFonts w:cs="Arial"/>
                <w:color w:val="000000"/>
              </w:rPr>
            </w:pPr>
            <w:r>
              <w:rPr>
                <w:rFonts w:cs="Arial"/>
                <w:color w:val="000000"/>
              </w:rPr>
              <w:t xml:space="preserve">$373.18 </w:t>
            </w:r>
          </w:p>
        </w:tc>
        <w:tc>
          <w:tcPr>
            <w:tcW w:w="1362" w:type="dxa"/>
            <w:shd w:val="clear" w:color="auto" w:fill="auto"/>
            <w:vAlign w:val="bottom"/>
            <w:hideMark/>
          </w:tcPr>
          <w:p w:rsidR="00671D77" w:rsidRDefault="00671D77">
            <w:pPr>
              <w:jc w:val="center"/>
              <w:rPr>
                <w:rFonts w:cs="Arial"/>
                <w:color w:val="000000"/>
              </w:rPr>
            </w:pPr>
            <w:r>
              <w:rPr>
                <w:rFonts w:cs="Arial"/>
                <w:color w:val="000000"/>
              </w:rPr>
              <w:t xml:space="preserve">$0 </w:t>
            </w:r>
          </w:p>
        </w:tc>
        <w:tc>
          <w:tcPr>
            <w:tcW w:w="1150" w:type="dxa"/>
            <w:shd w:val="clear" w:color="auto" w:fill="auto"/>
            <w:vAlign w:val="bottom"/>
            <w:hideMark/>
          </w:tcPr>
          <w:p w:rsidR="00671D77" w:rsidRDefault="00671D77">
            <w:pPr>
              <w:jc w:val="center"/>
              <w:rPr>
                <w:rFonts w:cs="Arial"/>
                <w:color w:val="000000"/>
              </w:rPr>
            </w:pPr>
            <w:r>
              <w:rPr>
                <w:rFonts w:cs="Arial"/>
                <w:color w:val="000000"/>
              </w:rPr>
              <w:t xml:space="preserve">$1,581.53 </w:t>
            </w:r>
          </w:p>
        </w:tc>
      </w:tr>
      <w:tr w:rsidR="00671D77" w:rsidRPr="00D37601" w:rsidTr="00671D77">
        <w:trPr>
          <w:trHeight w:val="540"/>
          <w:jc w:val="center"/>
        </w:trPr>
        <w:tc>
          <w:tcPr>
            <w:tcW w:w="1276" w:type="dxa"/>
            <w:shd w:val="clear" w:color="auto" w:fill="auto"/>
            <w:vAlign w:val="bottom"/>
            <w:hideMark/>
          </w:tcPr>
          <w:p w:rsidR="00671D77" w:rsidRDefault="00671D77">
            <w:pPr>
              <w:jc w:val="center"/>
              <w:rPr>
                <w:rFonts w:cs="Arial"/>
                <w:color w:val="000000"/>
              </w:rPr>
            </w:pPr>
            <w:r>
              <w:rPr>
                <w:rFonts w:cs="Arial"/>
                <w:color w:val="000000"/>
              </w:rPr>
              <w:t>MFm</w:t>
            </w:r>
          </w:p>
        </w:tc>
        <w:tc>
          <w:tcPr>
            <w:tcW w:w="1195" w:type="dxa"/>
            <w:shd w:val="clear" w:color="auto" w:fill="auto"/>
            <w:vAlign w:val="bottom"/>
            <w:hideMark/>
          </w:tcPr>
          <w:p w:rsidR="00671D77" w:rsidRDefault="00671D77">
            <w:pPr>
              <w:jc w:val="center"/>
              <w:rPr>
                <w:rFonts w:cs="Arial"/>
                <w:color w:val="000000"/>
              </w:rPr>
            </w:pPr>
            <w:r>
              <w:rPr>
                <w:rFonts w:cs="Arial"/>
                <w:color w:val="000000"/>
              </w:rPr>
              <w:t>ROB, NC</w:t>
            </w:r>
          </w:p>
        </w:tc>
        <w:tc>
          <w:tcPr>
            <w:tcW w:w="1217" w:type="dxa"/>
            <w:shd w:val="clear" w:color="auto" w:fill="auto"/>
            <w:vAlign w:val="bottom"/>
            <w:hideMark/>
          </w:tcPr>
          <w:p w:rsidR="00671D77" w:rsidRDefault="00671D77">
            <w:pPr>
              <w:jc w:val="center"/>
              <w:rPr>
                <w:rFonts w:cs="Arial"/>
                <w:color w:val="000000"/>
              </w:rPr>
            </w:pPr>
            <w:r>
              <w:rPr>
                <w:rFonts w:cs="Arial"/>
                <w:color w:val="000000"/>
              </w:rPr>
              <w:t xml:space="preserve">$607.01 </w:t>
            </w:r>
          </w:p>
        </w:tc>
        <w:tc>
          <w:tcPr>
            <w:tcW w:w="1173" w:type="dxa"/>
            <w:shd w:val="clear" w:color="auto" w:fill="auto"/>
            <w:vAlign w:val="bottom"/>
            <w:hideMark/>
          </w:tcPr>
          <w:p w:rsidR="00671D77" w:rsidRDefault="00671D77" w:rsidP="00D45FBB">
            <w:pPr>
              <w:jc w:val="center"/>
              <w:rPr>
                <w:rFonts w:cs="Arial"/>
                <w:color w:val="000000"/>
              </w:rPr>
            </w:pPr>
            <w:r>
              <w:rPr>
                <w:rFonts w:cs="Arial"/>
                <w:color w:val="000000"/>
              </w:rPr>
              <w:t xml:space="preserve">$187.46 </w:t>
            </w:r>
          </w:p>
        </w:tc>
        <w:tc>
          <w:tcPr>
            <w:tcW w:w="1362" w:type="dxa"/>
            <w:shd w:val="clear" w:color="auto" w:fill="auto"/>
            <w:vAlign w:val="bottom"/>
            <w:hideMark/>
          </w:tcPr>
          <w:p w:rsidR="00671D77" w:rsidRDefault="00671D77">
            <w:pPr>
              <w:jc w:val="center"/>
              <w:rPr>
                <w:rFonts w:cs="Arial"/>
                <w:color w:val="000000"/>
              </w:rPr>
            </w:pPr>
            <w:r>
              <w:rPr>
                <w:rFonts w:cs="Arial"/>
                <w:color w:val="000000"/>
              </w:rPr>
              <w:t xml:space="preserve">$0 </w:t>
            </w:r>
          </w:p>
        </w:tc>
        <w:tc>
          <w:tcPr>
            <w:tcW w:w="1150" w:type="dxa"/>
            <w:shd w:val="clear" w:color="auto" w:fill="auto"/>
            <w:vAlign w:val="bottom"/>
            <w:hideMark/>
          </w:tcPr>
          <w:p w:rsidR="00671D77" w:rsidRDefault="00671D77">
            <w:pPr>
              <w:jc w:val="center"/>
              <w:rPr>
                <w:rFonts w:cs="Arial"/>
                <w:color w:val="000000"/>
              </w:rPr>
            </w:pPr>
            <w:r>
              <w:rPr>
                <w:rFonts w:cs="Arial"/>
                <w:color w:val="000000"/>
              </w:rPr>
              <w:t xml:space="preserve">$794.48 </w:t>
            </w:r>
          </w:p>
        </w:tc>
      </w:tr>
      <w:tr w:rsidR="00671D77" w:rsidRPr="00D37601" w:rsidTr="00671D77">
        <w:trPr>
          <w:trHeight w:val="540"/>
          <w:jc w:val="center"/>
        </w:trPr>
        <w:tc>
          <w:tcPr>
            <w:tcW w:w="1276" w:type="dxa"/>
            <w:shd w:val="clear" w:color="auto" w:fill="auto"/>
            <w:vAlign w:val="bottom"/>
            <w:hideMark/>
          </w:tcPr>
          <w:p w:rsidR="00671D77" w:rsidRDefault="00671D77">
            <w:pPr>
              <w:jc w:val="center"/>
              <w:rPr>
                <w:rFonts w:cs="Arial"/>
                <w:color w:val="000000"/>
              </w:rPr>
            </w:pPr>
            <w:r>
              <w:rPr>
                <w:rFonts w:cs="Arial"/>
                <w:color w:val="000000"/>
              </w:rPr>
              <w:t>DMO</w:t>
            </w:r>
          </w:p>
        </w:tc>
        <w:tc>
          <w:tcPr>
            <w:tcW w:w="1195" w:type="dxa"/>
            <w:shd w:val="clear" w:color="auto" w:fill="auto"/>
            <w:vAlign w:val="bottom"/>
            <w:hideMark/>
          </w:tcPr>
          <w:p w:rsidR="00671D77" w:rsidRDefault="00671D77">
            <w:pPr>
              <w:jc w:val="center"/>
              <w:rPr>
                <w:rFonts w:cs="Arial"/>
                <w:color w:val="000000"/>
              </w:rPr>
            </w:pPr>
            <w:r>
              <w:rPr>
                <w:rFonts w:cs="Arial"/>
                <w:color w:val="000000"/>
              </w:rPr>
              <w:t>ROB, NC</w:t>
            </w:r>
          </w:p>
        </w:tc>
        <w:tc>
          <w:tcPr>
            <w:tcW w:w="1217" w:type="dxa"/>
            <w:shd w:val="clear" w:color="auto" w:fill="auto"/>
            <w:vAlign w:val="bottom"/>
            <w:hideMark/>
          </w:tcPr>
          <w:p w:rsidR="00671D77" w:rsidRDefault="00671D77">
            <w:pPr>
              <w:jc w:val="center"/>
              <w:rPr>
                <w:rFonts w:cs="Arial"/>
                <w:color w:val="000000"/>
              </w:rPr>
            </w:pPr>
            <w:r>
              <w:rPr>
                <w:rFonts w:cs="Arial"/>
                <w:color w:val="000000"/>
              </w:rPr>
              <w:t xml:space="preserve">$1,040.05 </w:t>
            </w:r>
          </w:p>
        </w:tc>
        <w:tc>
          <w:tcPr>
            <w:tcW w:w="1173" w:type="dxa"/>
            <w:shd w:val="clear" w:color="auto" w:fill="auto"/>
            <w:vAlign w:val="bottom"/>
            <w:hideMark/>
          </w:tcPr>
          <w:p w:rsidR="00671D77" w:rsidRDefault="00671D77" w:rsidP="00D45FBB">
            <w:pPr>
              <w:jc w:val="center"/>
              <w:rPr>
                <w:rFonts w:cs="Arial"/>
                <w:color w:val="000000"/>
              </w:rPr>
            </w:pPr>
            <w:r>
              <w:rPr>
                <w:rFonts w:cs="Arial"/>
                <w:color w:val="000000"/>
              </w:rPr>
              <w:t xml:space="preserve">$321.20 </w:t>
            </w:r>
          </w:p>
        </w:tc>
        <w:tc>
          <w:tcPr>
            <w:tcW w:w="1362" w:type="dxa"/>
            <w:shd w:val="clear" w:color="auto" w:fill="auto"/>
            <w:vAlign w:val="bottom"/>
            <w:hideMark/>
          </w:tcPr>
          <w:p w:rsidR="00671D77" w:rsidRDefault="00671D77">
            <w:pPr>
              <w:jc w:val="center"/>
              <w:rPr>
                <w:rFonts w:cs="Arial"/>
                <w:color w:val="000000"/>
              </w:rPr>
            </w:pPr>
            <w:r>
              <w:rPr>
                <w:rFonts w:cs="Arial"/>
                <w:color w:val="000000"/>
              </w:rPr>
              <w:t xml:space="preserve">$0 </w:t>
            </w:r>
          </w:p>
        </w:tc>
        <w:tc>
          <w:tcPr>
            <w:tcW w:w="1150" w:type="dxa"/>
            <w:shd w:val="clear" w:color="auto" w:fill="auto"/>
            <w:vAlign w:val="bottom"/>
            <w:hideMark/>
          </w:tcPr>
          <w:p w:rsidR="00671D77" w:rsidRDefault="00671D77">
            <w:pPr>
              <w:jc w:val="center"/>
              <w:rPr>
                <w:rFonts w:cs="Arial"/>
                <w:color w:val="000000"/>
              </w:rPr>
            </w:pPr>
            <w:r>
              <w:rPr>
                <w:rFonts w:cs="Arial"/>
                <w:color w:val="000000"/>
              </w:rPr>
              <w:t xml:space="preserve">$1,361.25 </w:t>
            </w:r>
          </w:p>
        </w:tc>
      </w:tr>
    </w:tbl>
    <w:p w:rsidR="00A73DD3" w:rsidRDefault="003401CC" w:rsidP="003401CC">
      <w:pPr>
        <w:pStyle w:val="PR1"/>
        <w:numPr>
          <w:ilvl w:val="0"/>
          <w:numId w:val="0"/>
        </w:numPr>
        <w:spacing w:before="0"/>
        <w:ind w:left="1152"/>
      </w:pPr>
      <w:r w:rsidRPr="00D37601">
        <w:t>All costs are noted as $ per measure unit</w:t>
      </w:r>
    </w:p>
    <w:p w:rsidR="008437DA" w:rsidRDefault="008437DA" w:rsidP="003401CC">
      <w:pPr>
        <w:pStyle w:val="PR1"/>
        <w:numPr>
          <w:ilvl w:val="0"/>
          <w:numId w:val="0"/>
        </w:numPr>
        <w:spacing w:before="0"/>
        <w:ind w:left="1152"/>
      </w:pPr>
    </w:p>
    <w:p w:rsidR="00AD22C9" w:rsidRPr="001A3391" w:rsidRDefault="003322A7" w:rsidP="003322A7">
      <w:pPr>
        <w:pStyle w:val="Caption"/>
      </w:pPr>
      <w:bookmarkStart w:id="49" w:name="_Toc384913202"/>
      <w:r>
        <w:t xml:space="preserve">Table </w:t>
      </w:r>
      <w:r w:rsidR="002D1AC6">
        <w:fldChar w:fldCharType="begin"/>
      </w:r>
      <w:r w:rsidR="002D1AC6">
        <w:instrText xml:space="preserve"> SEQ Table \* ARABIC </w:instrText>
      </w:r>
      <w:r w:rsidR="002D1AC6">
        <w:fldChar w:fldCharType="separate"/>
      </w:r>
      <w:r>
        <w:rPr>
          <w:noProof/>
        </w:rPr>
        <w:t>10</w:t>
      </w:r>
      <w:r w:rsidR="002D1AC6">
        <w:rPr>
          <w:noProof/>
        </w:rPr>
        <w:fldChar w:fldCharType="end"/>
      </w:r>
      <w:r>
        <w:t xml:space="preserve">: Measure Case Costs for </w:t>
      </w:r>
      <w:r>
        <w:rPr>
          <w:rFonts w:cs="Arial"/>
        </w:rPr>
        <w:t>≥ 96% &amp; &lt; 97% AFUE (per furnace)</w:t>
      </w:r>
      <w:bookmarkEnd w:id="49"/>
    </w:p>
    <w:tbl>
      <w:tblPr>
        <w:tblW w:w="7336" w:type="dxa"/>
        <w:jc w:val="center"/>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Look w:val="04A0" w:firstRow="1" w:lastRow="0" w:firstColumn="1" w:lastColumn="0" w:noHBand="0" w:noVBand="1"/>
      </w:tblPr>
      <w:tblGrid>
        <w:gridCol w:w="1216"/>
        <w:gridCol w:w="1195"/>
        <w:gridCol w:w="1173"/>
        <w:gridCol w:w="1173"/>
        <w:gridCol w:w="1362"/>
        <w:gridCol w:w="1217"/>
      </w:tblGrid>
      <w:tr w:rsidR="00671D77" w:rsidRPr="00AD22C9" w:rsidTr="00671D77">
        <w:trPr>
          <w:trHeight w:val="1054"/>
          <w:jc w:val="center"/>
        </w:trPr>
        <w:tc>
          <w:tcPr>
            <w:tcW w:w="1216" w:type="dxa"/>
            <w:shd w:val="clear" w:color="auto" w:fill="auto"/>
            <w:vAlign w:val="bottom"/>
            <w:hideMark/>
          </w:tcPr>
          <w:p w:rsidR="00671D77" w:rsidRPr="00AD22C9" w:rsidRDefault="00671D77" w:rsidP="00AD22C9">
            <w:pPr>
              <w:jc w:val="center"/>
              <w:rPr>
                <w:rFonts w:eastAsia="Times New Roman" w:cs="Arial"/>
                <w:color w:val="000000"/>
                <w:lang w:eastAsia="zh-TW"/>
              </w:rPr>
            </w:pPr>
            <w:r w:rsidRPr="00AD22C9">
              <w:rPr>
                <w:rFonts w:eastAsia="Times New Roman" w:cs="Arial"/>
                <w:color w:val="000000"/>
                <w:lang w:eastAsia="zh-TW"/>
              </w:rPr>
              <w:t>Building Type</w:t>
            </w:r>
          </w:p>
        </w:tc>
        <w:tc>
          <w:tcPr>
            <w:tcW w:w="1195" w:type="dxa"/>
            <w:shd w:val="clear" w:color="auto" w:fill="auto"/>
            <w:vAlign w:val="bottom"/>
            <w:hideMark/>
          </w:tcPr>
          <w:p w:rsidR="00671D77" w:rsidRPr="00AD22C9" w:rsidRDefault="00671D77" w:rsidP="00AD22C9">
            <w:pPr>
              <w:jc w:val="center"/>
              <w:rPr>
                <w:rFonts w:eastAsia="Times New Roman" w:cs="Arial"/>
                <w:color w:val="000000"/>
                <w:lang w:eastAsia="zh-TW"/>
              </w:rPr>
            </w:pPr>
            <w:r w:rsidRPr="00AD22C9">
              <w:rPr>
                <w:rFonts w:eastAsia="Times New Roman" w:cs="Arial"/>
                <w:color w:val="000000"/>
                <w:lang w:eastAsia="zh-TW"/>
              </w:rPr>
              <w:t>Measure Application Type</w:t>
            </w:r>
          </w:p>
        </w:tc>
        <w:tc>
          <w:tcPr>
            <w:tcW w:w="1173" w:type="dxa"/>
            <w:shd w:val="clear" w:color="auto" w:fill="auto"/>
            <w:vAlign w:val="bottom"/>
            <w:hideMark/>
          </w:tcPr>
          <w:p w:rsidR="00671D77" w:rsidRPr="00AD22C9" w:rsidRDefault="00671D77" w:rsidP="00AD22C9">
            <w:pPr>
              <w:jc w:val="center"/>
              <w:rPr>
                <w:rFonts w:eastAsia="Times New Roman" w:cs="Arial"/>
                <w:color w:val="000000"/>
                <w:lang w:eastAsia="zh-TW"/>
              </w:rPr>
            </w:pPr>
            <w:r w:rsidRPr="00AD22C9">
              <w:rPr>
                <w:rFonts w:eastAsia="Times New Roman" w:cs="Arial"/>
                <w:color w:val="000000"/>
                <w:lang w:eastAsia="zh-TW"/>
              </w:rPr>
              <w:t>Equipment Cost</w:t>
            </w:r>
          </w:p>
        </w:tc>
        <w:tc>
          <w:tcPr>
            <w:tcW w:w="1173" w:type="dxa"/>
            <w:shd w:val="clear" w:color="auto" w:fill="auto"/>
            <w:vAlign w:val="bottom"/>
            <w:hideMark/>
          </w:tcPr>
          <w:p w:rsidR="00671D77" w:rsidRPr="00AD22C9" w:rsidRDefault="00671D77" w:rsidP="00AD22C9">
            <w:pPr>
              <w:jc w:val="center"/>
              <w:rPr>
                <w:rFonts w:eastAsia="Times New Roman" w:cs="Arial"/>
                <w:color w:val="000000"/>
                <w:lang w:eastAsia="zh-TW"/>
              </w:rPr>
            </w:pPr>
            <w:r w:rsidRPr="00AD22C9">
              <w:rPr>
                <w:rFonts w:eastAsia="Times New Roman" w:cs="Arial"/>
                <w:color w:val="000000"/>
                <w:lang w:eastAsia="zh-TW"/>
              </w:rPr>
              <w:t>Labor / Installation Cost</w:t>
            </w:r>
          </w:p>
        </w:tc>
        <w:tc>
          <w:tcPr>
            <w:tcW w:w="1362" w:type="dxa"/>
            <w:shd w:val="clear" w:color="auto" w:fill="auto"/>
            <w:vAlign w:val="bottom"/>
            <w:hideMark/>
          </w:tcPr>
          <w:p w:rsidR="00671D77" w:rsidRPr="00AD22C9" w:rsidRDefault="00671D77" w:rsidP="00AD22C9">
            <w:pPr>
              <w:jc w:val="center"/>
              <w:rPr>
                <w:rFonts w:eastAsia="Times New Roman" w:cs="Arial"/>
                <w:color w:val="000000"/>
                <w:lang w:eastAsia="zh-TW"/>
              </w:rPr>
            </w:pPr>
            <w:r w:rsidRPr="00AD22C9">
              <w:rPr>
                <w:rFonts w:eastAsia="Times New Roman" w:cs="Arial"/>
                <w:color w:val="000000"/>
                <w:lang w:eastAsia="zh-TW"/>
              </w:rPr>
              <w:t>Maintenance / Other Cost</w:t>
            </w:r>
          </w:p>
        </w:tc>
        <w:tc>
          <w:tcPr>
            <w:tcW w:w="1217" w:type="dxa"/>
            <w:shd w:val="clear" w:color="auto" w:fill="auto"/>
            <w:vAlign w:val="bottom"/>
            <w:hideMark/>
          </w:tcPr>
          <w:p w:rsidR="00671D77" w:rsidRPr="00AD22C9" w:rsidRDefault="00671D77" w:rsidP="00AD22C9">
            <w:pPr>
              <w:jc w:val="center"/>
              <w:rPr>
                <w:rFonts w:eastAsia="Times New Roman" w:cs="Arial"/>
                <w:color w:val="000000"/>
                <w:lang w:eastAsia="zh-TW"/>
              </w:rPr>
            </w:pPr>
            <w:r w:rsidRPr="00AD22C9">
              <w:rPr>
                <w:rFonts w:eastAsia="Times New Roman" w:cs="Arial"/>
                <w:color w:val="000000"/>
                <w:lang w:eastAsia="zh-TW"/>
              </w:rPr>
              <w:t>Total Measure Case Cost</w:t>
            </w:r>
          </w:p>
        </w:tc>
      </w:tr>
      <w:tr w:rsidR="00671D77" w:rsidRPr="00AD22C9" w:rsidTr="00671D77">
        <w:trPr>
          <w:trHeight w:val="603"/>
          <w:jc w:val="center"/>
        </w:trPr>
        <w:tc>
          <w:tcPr>
            <w:tcW w:w="1216" w:type="dxa"/>
            <w:shd w:val="clear" w:color="auto" w:fill="auto"/>
            <w:vAlign w:val="bottom"/>
            <w:hideMark/>
          </w:tcPr>
          <w:p w:rsidR="00671D77" w:rsidRPr="00AD22C9" w:rsidRDefault="00671D77" w:rsidP="00AD22C9">
            <w:pPr>
              <w:jc w:val="center"/>
              <w:rPr>
                <w:rFonts w:eastAsia="Times New Roman" w:cs="Arial"/>
                <w:color w:val="000000"/>
                <w:lang w:eastAsia="zh-TW"/>
              </w:rPr>
            </w:pPr>
            <w:r w:rsidRPr="00AD22C9">
              <w:rPr>
                <w:rFonts w:eastAsia="Times New Roman" w:cs="Arial"/>
                <w:color w:val="000000"/>
                <w:lang w:eastAsia="zh-TW"/>
              </w:rPr>
              <w:t>SFM</w:t>
            </w:r>
          </w:p>
        </w:tc>
        <w:tc>
          <w:tcPr>
            <w:tcW w:w="1195" w:type="dxa"/>
            <w:shd w:val="clear" w:color="auto" w:fill="auto"/>
            <w:vAlign w:val="bottom"/>
            <w:hideMark/>
          </w:tcPr>
          <w:p w:rsidR="00671D77" w:rsidRPr="00AD22C9" w:rsidRDefault="00671D77" w:rsidP="00AD22C9">
            <w:pPr>
              <w:jc w:val="center"/>
              <w:rPr>
                <w:rFonts w:eastAsia="Times New Roman" w:cs="Arial"/>
                <w:color w:val="000000"/>
                <w:lang w:eastAsia="zh-TW"/>
              </w:rPr>
            </w:pPr>
            <w:r w:rsidRPr="00AD22C9">
              <w:rPr>
                <w:rFonts w:eastAsia="Times New Roman" w:cs="Arial"/>
                <w:color w:val="000000"/>
                <w:lang w:eastAsia="zh-TW"/>
              </w:rPr>
              <w:t>ROB, NC</w:t>
            </w:r>
          </w:p>
        </w:tc>
        <w:tc>
          <w:tcPr>
            <w:tcW w:w="1173" w:type="dxa"/>
            <w:shd w:val="clear" w:color="auto" w:fill="auto"/>
            <w:vAlign w:val="bottom"/>
            <w:hideMark/>
          </w:tcPr>
          <w:p w:rsidR="00671D77" w:rsidRPr="00AD22C9" w:rsidRDefault="00671D77" w:rsidP="00AD22C9">
            <w:pPr>
              <w:jc w:val="center"/>
              <w:rPr>
                <w:rFonts w:eastAsia="Times New Roman" w:cs="Arial"/>
                <w:color w:val="000000"/>
                <w:lang w:eastAsia="zh-TW"/>
              </w:rPr>
            </w:pPr>
            <w:r>
              <w:rPr>
                <w:rFonts w:eastAsia="Times New Roman" w:cs="Arial"/>
                <w:color w:val="000000"/>
                <w:lang w:eastAsia="zh-TW"/>
              </w:rPr>
              <w:t>$1,525.93</w:t>
            </w:r>
            <w:r w:rsidRPr="00AD22C9">
              <w:rPr>
                <w:rFonts w:eastAsia="Times New Roman" w:cs="Arial"/>
                <w:color w:val="000000"/>
                <w:lang w:eastAsia="zh-TW"/>
              </w:rPr>
              <w:t xml:space="preserve"> </w:t>
            </w:r>
          </w:p>
        </w:tc>
        <w:tc>
          <w:tcPr>
            <w:tcW w:w="1173" w:type="dxa"/>
            <w:shd w:val="clear" w:color="auto" w:fill="auto"/>
            <w:vAlign w:val="bottom"/>
            <w:hideMark/>
          </w:tcPr>
          <w:p w:rsidR="00671D77" w:rsidRDefault="00671D77" w:rsidP="00D45FBB">
            <w:pPr>
              <w:jc w:val="center"/>
              <w:rPr>
                <w:rFonts w:cs="Arial"/>
                <w:color w:val="000000"/>
              </w:rPr>
            </w:pPr>
            <w:r>
              <w:rPr>
                <w:rFonts w:cs="Arial"/>
                <w:color w:val="000000"/>
              </w:rPr>
              <w:t xml:space="preserve">$373.18 </w:t>
            </w:r>
          </w:p>
        </w:tc>
        <w:tc>
          <w:tcPr>
            <w:tcW w:w="1362" w:type="dxa"/>
            <w:shd w:val="clear" w:color="auto" w:fill="auto"/>
            <w:vAlign w:val="bottom"/>
            <w:hideMark/>
          </w:tcPr>
          <w:p w:rsidR="00671D77" w:rsidRPr="00AD22C9" w:rsidRDefault="00671D77" w:rsidP="00AD22C9">
            <w:pPr>
              <w:jc w:val="center"/>
              <w:rPr>
                <w:rFonts w:eastAsia="Times New Roman" w:cs="Arial"/>
                <w:color w:val="000000"/>
                <w:lang w:eastAsia="zh-TW"/>
              </w:rPr>
            </w:pPr>
            <w:r w:rsidRPr="00AD22C9">
              <w:rPr>
                <w:rFonts w:eastAsia="Times New Roman" w:cs="Arial"/>
                <w:color w:val="000000"/>
                <w:lang w:eastAsia="zh-TW"/>
              </w:rPr>
              <w:t xml:space="preserve">$0 </w:t>
            </w:r>
          </w:p>
        </w:tc>
        <w:tc>
          <w:tcPr>
            <w:tcW w:w="1217" w:type="dxa"/>
            <w:shd w:val="clear" w:color="auto" w:fill="auto"/>
            <w:vAlign w:val="bottom"/>
            <w:hideMark/>
          </w:tcPr>
          <w:p w:rsidR="00671D77" w:rsidRPr="00AD22C9" w:rsidRDefault="00671D77" w:rsidP="00AD22C9">
            <w:pPr>
              <w:jc w:val="center"/>
              <w:rPr>
                <w:rFonts w:eastAsia="Times New Roman" w:cs="Arial"/>
                <w:color w:val="000000"/>
                <w:lang w:eastAsia="zh-TW"/>
              </w:rPr>
            </w:pPr>
            <w:r>
              <w:rPr>
                <w:rFonts w:eastAsia="Times New Roman" w:cs="Arial"/>
                <w:color w:val="000000"/>
                <w:lang w:eastAsia="zh-TW"/>
              </w:rPr>
              <w:t>$1,899.108</w:t>
            </w:r>
            <w:r w:rsidRPr="00AD22C9">
              <w:rPr>
                <w:rFonts w:eastAsia="Times New Roman" w:cs="Arial"/>
                <w:color w:val="000000"/>
                <w:lang w:eastAsia="zh-TW"/>
              </w:rPr>
              <w:t xml:space="preserve"> </w:t>
            </w:r>
          </w:p>
        </w:tc>
      </w:tr>
      <w:tr w:rsidR="00671D77" w:rsidRPr="00AD22C9" w:rsidTr="00671D77">
        <w:trPr>
          <w:trHeight w:val="612"/>
          <w:jc w:val="center"/>
        </w:trPr>
        <w:tc>
          <w:tcPr>
            <w:tcW w:w="1216" w:type="dxa"/>
            <w:shd w:val="clear" w:color="auto" w:fill="auto"/>
            <w:vAlign w:val="bottom"/>
            <w:hideMark/>
          </w:tcPr>
          <w:p w:rsidR="00671D77" w:rsidRPr="00AD22C9" w:rsidRDefault="00671D77" w:rsidP="00AD22C9">
            <w:pPr>
              <w:jc w:val="center"/>
              <w:rPr>
                <w:rFonts w:eastAsia="Times New Roman" w:cs="Arial"/>
                <w:color w:val="000000"/>
                <w:lang w:eastAsia="zh-TW"/>
              </w:rPr>
            </w:pPr>
            <w:r w:rsidRPr="00AD22C9">
              <w:rPr>
                <w:rFonts w:eastAsia="Times New Roman" w:cs="Arial"/>
                <w:color w:val="000000"/>
                <w:lang w:eastAsia="zh-TW"/>
              </w:rPr>
              <w:t>MFm</w:t>
            </w:r>
          </w:p>
        </w:tc>
        <w:tc>
          <w:tcPr>
            <w:tcW w:w="1195" w:type="dxa"/>
            <w:shd w:val="clear" w:color="auto" w:fill="auto"/>
            <w:vAlign w:val="bottom"/>
            <w:hideMark/>
          </w:tcPr>
          <w:p w:rsidR="00671D77" w:rsidRPr="00AD22C9" w:rsidRDefault="00671D77" w:rsidP="00AD22C9">
            <w:pPr>
              <w:jc w:val="center"/>
              <w:rPr>
                <w:rFonts w:eastAsia="Times New Roman" w:cs="Arial"/>
                <w:color w:val="000000"/>
                <w:lang w:eastAsia="zh-TW"/>
              </w:rPr>
            </w:pPr>
            <w:r w:rsidRPr="00AD22C9">
              <w:rPr>
                <w:rFonts w:eastAsia="Times New Roman" w:cs="Arial"/>
                <w:color w:val="000000"/>
                <w:lang w:eastAsia="zh-TW"/>
              </w:rPr>
              <w:t>ROB, NC</w:t>
            </w:r>
          </w:p>
        </w:tc>
        <w:tc>
          <w:tcPr>
            <w:tcW w:w="1173" w:type="dxa"/>
            <w:shd w:val="clear" w:color="auto" w:fill="auto"/>
            <w:vAlign w:val="bottom"/>
            <w:hideMark/>
          </w:tcPr>
          <w:p w:rsidR="00671D77" w:rsidRPr="00AD22C9" w:rsidRDefault="00671D77" w:rsidP="00AD22C9">
            <w:pPr>
              <w:jc w:val="center"/>
              <w:rPr>
                <w:rFonts w:eastAsia="Times New Roman" w:cs="Arial"/>
                <w:color w:val="000000"/>
                <w:lang w:eastAsia="zh-TW"/>
              </w:rPr>
            </w:pPr>
            <w:r>
              <w:rPr>
                <w:rFonts w:eastAsia="Times New Roman" w:cs="Arial"/>
                <w:color w:val="000000"/>
                <w:lang w:eastAsia="zh-TW"/>
              </w:rPr>
              <w:t>$766.55</w:t>
            </w:r>
            <w:r w:rsidRPr="00AD22C9">
              <w:rPr>
                <w:rFonts w:eastAsia="Times New Roman" w:cs="Arial"/>
                <w:color w:val="000000"/>
                <w:lang w:eastAsia="zh-TW"/>
              </w:rPr>
              <w:t xml:space="preserve"> </w:t>
            </w:r>
          </w:p>
        </w:tc>
        <w:tc>
          <w:tcPr>
            <w:tcW w:w="1173" w:type="dxa"/>
            <w:shd w:val="clear" w:color="auto" w:fill="auto"/>
            <w:vAlign w:val="bottom"/>
            <w:hideMark/>
          </w:tcPr>
          <w:p w:rsidR="00671D77" w:rsidRDefault="00671D77" w:rsidP="00D45FBB">
            <w:pPr>
              <w:jc w:val="center"/>
              <w:rPr>
                <w:rFonts w:cs="Arial"/>
                <w:color w:val="000000"/>
              </w:rPr>
            </w:pPr>
            <w:r>
              <w:rPr>
                <w:rFonts w:cs="Arial"/>
                <w:color w:val="000000"/>
              </w:rPr>
              <w:t xml:space="preserve">$187.46 </w:t>
            </w:r>
          </w:p>
        </w:tc>
        <w:tc>
          <w:tcPr>
            <w:tcW w:w="1362" w:type="dxa"/>
            <w:shd w:val="clear" w:color="auto" w:fill="auto"/>
            <w:vAlign w:val="bottom"/>
            <w:hideMark/>
          </w:tcPr>
          <w:p w:rsidR="00671D77" w:rsidRPr="00AD22C9" w:rsidRDefault="00671D77" w:rsidP="00AD22C9">
            <w:pPr>
              <w:jc w:val="center"/>
              <w:rPr>
                <w:rFonts w:eastAsia="Times New Roman" w:cs="Arial"/>
                <w:color w:val="000000"/>
                <w:lang w:eastAsia="zh-TW"/>
              </w:rPr>
            </w:pPr>
            <w:r w:rsidRPr="00AD22C9">
              <w:rPr>
                <w:rFonts w:eastAsia="Times New Roman" w:cs="Arial"/>
                <w:color w:val="000000"/>
                <w:lang w:eastAsia="zh-TW"/>
              </w:rPr>
              <w:t xml:space="preserve">$0 </w:t>
            </w:r>
          </w:p>
        </w:tc>
        <w:tc>
          <w:tcPr>
            <w:tcW w:w="1217" w:type="dxa"/>
            <w:shd w:val="clear" w:color="auto" w:fill="auto"/>
            <w:vAlign w:val="bottom"/>
            <w:hideMark/>
          </w:tcPr>
          <w:p w:rsidR="00671D77" w:rsidRPr="00AD22C9" w:rsidRDefault="00671D77" w:rsidP="00AD22C9">
            <w:pPr>
              <w:jc w:val="center"/>
              <w:rPr>
                <w:rFonts w:eastAsia="Times New Roman" w:cs="Arial"/>
                <w:color w:val="000000"/>
                <w:lang w:eastAsia="zh-TW"/>
              </w:rPr>
            </w:pPr>
            <w:r>
              <w:rPr>
                <w:rFonts w:eastAsia="Times New Roman" w:cs="Arial"/>
                <w:color w:val="000000"/>
                <w:lang w:eastAsia="zh-TW"/>
              </w:rPr>
              <w:t>$954.012</w:t>
            </w:r>
            <w:r w:rsidRPr="00AD22C9">
              <w:rPr>
                <w:rFonts w:eastAsia="Times New Roman" w:cs="Arial"/>
                <w:color w:val="000000"/>
                <w:lang w:eastAsia="zh-TW"/>
              </w:rPr>
              <w:t xml:space="preserve"> </w:t>
            </w:r>
          </w:p>
        </w:tc>
      </w:tr>
      <w:tr w:rsidR="00671D77" w:rsidRPr="00AD22C9" w:rsidTr="00671D77">
        <w:trPr>
          <w:trHeight w:val="693"/>
          <w:jc w:val="center"/>
        </w:trPr>
        <w:tc>
          <w:tcPr>
            <w:tcW w:w="1216" w:type="dxa"/>
            <w:shd w:val="clear" w:color="auto" w:fill="auto"/>
            <w:vAlign w:val="bottom"/>
            <w:hideMark/>
          </w:tcPr>
          <w:p w:rsidR="00671D77" w:rsidRPr="00AD22C9" w:rsidRDefault="00671D77" w:rsidP="00AD22C9">
            <w:pPr>
              <w:jc w:val="center"/>
              <w:rPr>
                <w:rFonts w:eastAsia="Times New Roman" w:cs="Arial"/>
                <w:color w:val="000000"/>
                <w:lang w:eastAsia="zh-TW"/>
              </w:rPr>
            </w:pPr>
            <w:r w:rsidRPr="00AD22C9">
              <w:rPr>
                <w:rFonts w:eastAsia="Times New Roman" w:cs="Arial"/>
                <w:color w:val="000000"/>
                <w:lang w:eastAsia="zh-TW"/>
              </w:rPr>
              <w:t>DMO</w:t>
            </w:r>
          </w:p>
        </w:tc>
        <w:tc>
          <w:tcPr>
            <w:tcW w:w="1195" w:type="dxa"/>
            <w:shd w:val="clear" w:color="auto" w:fill="auto"/>
            <w:vAlign w:val="bottom"/>
            <w:hideMark/>
          </w:tcPr>
          <w:p w:rsidR="00671D77" w:rsidRPr="00AD22C9" w:rsidRDefault="00671D77" w:rsidP="00AD22C9">
            <w:pPr>
              <w:jc w:val="center"/>
              <w:rPr>
                <w:rFonts w:eastAsia="Times New Roman" w:cs="Arial"/>
                <w:color w:val="000000"/>
                <w:lang w:eastAsia="zh-TW"/>
              </w:rPr>
            </w:pPr>
            <w:r w:rsidRPr="00AD22C9">
              <w:rPr>
                <w:rFonts w:eastAsia="Times New Roman" w:cs="Arial"/>
                <w:color w:val="000000"/>
                <w:lang w:eastAsia="zh-TW"/>
              </w:rPr>
              <w:t>ROB, NC</w:t>
            </w:r>
          </w:p>
        </w:tc>
        <w:tc>
          <w:tcPr>
            <w:tcW w:w="1173" w:type="dxa"/>
            <w:shd w:val="clear" w:color="auto" w:fill="auto"/>
            <w:vAlign w:val="bottom"/>
            <w:hideMark/>
          </w:tcPr>
          <w:p w:rsidR="00671D77" w:rsidRPr="00AD22C9" w:rsidRDefault="00671D77" w:rsidP="00AD22C9">
            <w:pPr>
              <w:jc w:val="center"/>
              <w:rPr>
                <w:rFonts w:eastAsia="Times New Roman" w:cs="Arial"/>
                <w:color w:val="000000"/>
                <w:lang w:eastAsia="zh-TW"/>
              </w:rPr>
            </w:pPr>
            <w:r>
              <w:rPr>
                <w:rFonts w:eastAsia="Times New Roman" w:cs="Arial"/>
                <w:color w:val="000000"/>
                <w:lang w:eastAsia="zh-TW"/>
              </w:rPr>
              <w:t>$1,313.40</w:t>
            </w:r>
            <w:r w:rsidRPr="00AD22C9">
              <w:rPr>
                <w:rFonts w:eastAsia="Times New Roman" w:cs="Arial"/>
                <w:color w:val="000000"/>
                <w:lang w:eastAsia="zh-TW"/>
              </w:rPr>
              <w:t xml:space="preserve"> </w:t>
            </w:r>
          </w:p>
        </w:tc>
        <w:tc>
          <w:tcPr>
            <w:tcW w:w="1173" w:type="dxa"/>
            <w:shd w:val="clear" w:color="auto" w:fill="auto"/>
            <w:vAlign w:val="bottom"/>
            <w:hideMark/>
          </w:tcPr>
          <w:p w:rsidR="00671D77" w:rsidRDefault="00671D77" w:rsidP="00D45FBB">
            <w:pPr>
              <w:jc w:val="center"/>
              <w:rPr>
                <w:rFonts w:cs="Arial"/>
                <w:color w:val="000000"/>
              </w:rPr>
            </w:pPr>
            <w:r>
              <w:rPr>
                <w:rFonts w:cs="Arial"/>
                <w:color w:val="000000"/>
              </w:rPr>
              <w:t xml:space="preserve">$321.20 </w:t>
            </w:r>
          </w:p>
        </w:tc>
        <w:tc>
          <w:tcPr>
            <w:tcW w:w="1362" w:type="dxa"/>
            <w:shd w:val="clear" w:color="auto" w:fill="auto"/>
            <w:vAlign w:val="bottom"/>
            <w:hideMark/>
          </w:tcPr>
          <w:p w:rsidR="00671D77" w:rsidRPr="00AD22C9" w:rsidRDefault="00671D77" w:rsidP="00AD22C9">
            <w:pPr>
              <w:jc w:val="center"/>
              <w:rPr>
                <w:rFonts w:eastAsia="Times New Roman" w:cs="Arial"/>
                <w:color w:val="000000"/>
                <w:lang w:eastAsia="zh-TW"/>
              </w:rPr>
            </w:pPr>
            <w:r w:rsidRPr="00AD22C9">
              <w:rPr>
                <w:rFonts w:eastAsia="Times New Roman" w:cs="Arial"/>
                <w:color w:val="000000"/>
                <w:lang w:eastAsia="zh-TW"/>
              </w:rPr>
              <w:t xml:space="preserve">$0 </w:t>
            </w:r>
          </w:p>
        </w:tc>
        <w:tc>
          <w:tcPr>
            <w:tcW w:w="1217" w:type="dxa"/>
            <w:shd w:val="clear" w:color="auto" w:fill="auto"/>
            <w:vAlign w:val="bottom"/>
            <w:hideMark/>
          </w:tcPr>
          <w:p w:rsidR="00671D77" w:rsidRPr="00AD22C9" w:rsidRDefault="00671D77" w:rsidP="00AD22C9">
            <w:pPr>
              <w:jc w:val="center"/>
              <w:rPr>
                <w:rFonts w:eastAsia="Times New Roman" w:cs="Arial"/>
                <w:color w:val="000000"/>
                <w:lang w:eastAsia="zh-TW"/>
              </w:rPr>
            </w:pPr>
            <w:r>
              <w:rPr>
                <w:rFonts w:eastAsia="Times New Roman" w:cs="Arial"/>
                <w:color w:val="000000"/>
                <w:lang w:eastAsia="zh-TW"/>
              </w:rPr>
              <w:t>$1,634.60</w:t>
            </w:r>
            <w:r w:rsidRPr="00AD22C9">
              <w:rPr>
                <w:rFonts w:eastAsia="Times New Roman" w:cs="Arial"/>
                <w:color w:val="000000"/>
                <w:lang w:eastAsia="zh-TW"/>
              </w:rPr>
              <w:t xml:space="preserve"> </w:t>
            </w:r>
          </w:p>
        </w:tc>
      </w:tr>
    </w:tbl>
    <w:p w:rsidR="00AD22C9" w:rsidRDefault="00AD22C9" w:rsidP="00AD22C9">
      <w:pPr>
        <w:pStyle w:val="PR1"/>
        <w:numPr>
          <w:ilvl w:val="0"/>
          <w:numId w:val="0"/>
        </w:numPr>
        <w:spacing w:before="0"/>
        <w:ind w:left="1152"/>
      </w:pPr>
      <w:r w:rsidRPr="00D37601">
        <w:t>All costs are noted as $ per measure unit</w:t>
      </w:r>
    </w:p>
    <w:p w:rsidR="00AD22C9" w:rsidRDefault="00AD22C9" w:rsidP="003401CC">
      <w:pPr>
        <w:pStyle w:val="PR1"/>
        <w:numPr>
          <w:ilvl w:val="0"/>
          <w:numId w:val="0"/>
        </w:numPr>
        <w:spacing w:before="0"/>
        <w:ind w:left="1152"/>
      </w:pPr>
    </w:p>
    <w:p w:rsidR="00AD22C9" w:rsidRDefault="00AD22C9" w:rsidP="003401CC">
      <w:pPr>
        <w:pStyle w:val="PR1"/>
        <w:numPr>
          <w:ilvl w:val="0"/>
          <w:numId w:val="0"/>
        </w:numPr>
        <w:spacing w:before="0"/>
        <w:ind w:left="1152"/>
      </w:pPr>
    </w:p>
    <w:p w:rsidR="008437DA" w:rsidRPr="00D37601" w:rsidRDefault="00132837" w:rsidP="001A3391">
      <w:pPr>
        <w:pStyle w:val="Caption"/>
      </w:pPr>
      <w:bookmarkStart w:id="50" w:name="_Toc355245890"/>
      <w:bookmarkStart w:id="51" w:name="_Toc384913203"/>
      <w:r>
        <w:t xml:space="preserve">Table </w:t>
      </w:r>
      <w:r w:rsidR="006F409E">
        <w:fldChar w:fldCharType="begin"/>
      </w:r>
      <w:r w:rsidR="00231A62">
        <w:instrText xml:space="preserve"> SEQ Table \* ARABIC </w:instrText>
      </w:r>
      <w:r w:rsidR="006F409E">
        <w:fldChar w:fldCharType="separate"/>
      </w:r>
      <w:r w:rsidR="003322A7">
        <w:rPr>
          <w:noProof/>
        </w:rPr>
        <w:t>11</w:t>
      </w:r>
      <w:r w:rsidR="006F409E">
        <w:rPr>
          <w:noProof/>
        </w:rPr>
        <w:fldChar w:fldCharType="end"/>
      </w:r>
      <w:r w:rsidRPr="000F7B65">
        <w:t>: Measure Case Costs for ≥ 97% AFUE (per furnace)</w:t>
      </w:r>
      <w:bookmarkEnd w:id="50"/>
      <w:bookmarkEnd w:id="51"/>
    </w:p>
    <w:tbl>
      <w:tblPr>
        <w:tblW w:w="7367" w:type="dxa"/>
        <w:jc w:val="center"/>
        <w:tblBorders>
          <w:top w:val="single" w:sz="8" w:space="0" w:color="auto"/>
          <w:left w:val="single" w:sz="4"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3"/>
        <w:gridCol w:w="1195"/>
        <w:gridCol w:w="1192"/>
        <w:gridCol w:w="1173"/>
        <w:gridCol w:w="1362"/>
        <w:gridCol w:w="1152"/>
      </w:tblGrid>
      <w:tr w:rsidR="00671D77" w:rsidRPr="00D37601" w:rsidTr="00671D77">
        <w:trPr>
          <w:trHeight w:val="1050"/>
          <w:jc w:val="center"/>
        </w:trPr>
        <w:tc>
          <w:tcPr>
            <w:tcW w:w="1293" w:type="dxa"/>
            <w:shd w:val="clear" w:color="auto" w:fill="auto"/>
            <w:vAlign w:val="bottom"/>
            <w:hideMark/>
          </w:tcPr>
          <w:p w:rsidR="00671D77" w:rsidRPr="00D37601" w:rsidRDefault="00671D77" w:rsidP="005A7272">
            <w:pPr>
              <w:keepNext/>
              <w:jc w:val="center"/>
            </w:pPr>
            <w:r w:rsidRPr="00D37601">
              <w:t>Building Type</w:t>
            </w:r>
          </w:p>
        </w:tc>
        <w:tc>
          <w:tcPr>
            <w:tcW w:w="1195" w:type="dxa"/>
            <w:shd w:val="clear" w:color="auto" w:fill="auto"/>
            <w:vAlign w:val="bottom"/>
            <w:hideMark/>
          </w:tcPr>
          <w:p w:rsidR="00671D77" w:rsidRPr="00D37601" w:rsidRDefault="00671D77" w:rsidP="005A7272">
            <w:pPr>
              <w:keepNext/>
              <w:jc w:val="center"/>
            </w:pPr>
            <w:r w:rsidRPr="00D37601">
              <w:t>Measure Application Type</w:t>
            </w:r>
          </w:p>
        </w:tc>
        <w:tc>
          <w:tcPr>
            <w:tcW w:w="1192" w:type="dxa"/>
            <w:shd w:val="clear" w:color="auto" w:fill="auto"/>
            <w:vAlign w:val="bottom"/>
            <w:hideMark/>
          </w:tcPr>
          <w:p w:rsidR="00671D77" w:rsidRPr="00D37601" w:rsidRDefault="00671D77" w:rsidP="005A7272">
            <w:pPr>
              <w:keepNext/>
              <w:jc w:val="center"/>
            </w:pPr>
            <w:r w:rsidRPr="00D37601">
              <w:t>Equipment Cost</w:t>
            </w:r>
          </w:p>
        </w:tc>
        <w:tc>
          <w:tcPr>
            <w:tcW w:w="1173" w:type="dxa"/>
            <w:shd w:val="clear" w:color="auto" w:fill="auto"/>
            <w:vAlign w:val="bottom"/>
            <w:hideMark/>
          </w:tcPr>
          <w:p w:rsidR="00671D77" w:rsidRPr="00D37601" w:rsidRDefault="00671D77" w:rsidP="005A7272">
            <w:pPr>
              <w:keepNext/>
              <w:jc w:val="center"/>
            </w:pPr>
            <w:r w:rsidRPr="00D37601">
              <w:t>Labor / Installation Cost</w:t>
            </w:r>
          </w:p>
        </w:tc>
        <w:tc>
          <w:tcPr>
            <w:tcW w:w="1362" w:type="dxa"/>
            <w:shd w:val="clear" w:color="auto" w:fill="auto"/>
            <w:vAlign w:val="bottom"/>
            <w:hideMark/>
          </w:tcPr>
          <w:p w:rsidR="00671D77" w:rsidRPr="00D37601" w:rsidRDefault="00671D77" w:rsidP="005A7272">
            <w:pPr>
              <w:keepNext/>
              <w:jc w:val="center"/>
            </w:pPr>
            <w:r w:rsidRPr="00D37601">
              <w:t>Maintenance / Other Cost</w:t>
            </w:r>
          </w:p>
        </w:tc>
        <w:tc>
          <w:tcPr>
            <w:tcW w:w="1152" w:type="dxa"/>
            <w:shd w:val="clear" w:color="auto" w:fill="auto"/>
            <w:vAlign w:val="bottom"/>
            <w:hideMark/>
          </w:tcPr>
          <w:p w:rsidR="00671D77" w:rsidRPr="00D37601" w:rsidRDefault="00671D77" w:rsidP="005A7272">
            <w:pPr>
              <w:keepNext/>
              <w:jc w:val="center"/>
            </w:pPr>
            <w:r w:rsidRPr="00D37601">
              <w:t>Total Measure Case Cost</w:t>
            </w:r>
          </w:p>
        </w:tc>
      </w:tr>
      <w:tr w:rsidR="00671D77" w:rsidRPr="00D37601" w:rsidTr="00671D77">
        <w:trPr>
          <w:trHeight w:val="540"/>
          <w:jc w:val="center"/>
        </w:trPr>
        <w:tc>
          <w:tcPr>
            <w:tcW w:w="1293" w:type="dxa"/>
            <w:shd w:val="clear" w:color="auto" w:fill="auto"/>
            <w:vAlign w:val="bottom"/>
            <w:hideMark/>
          </w:tcPr>
          <w:p w:rsidR="00671D77" w:rsidRDefault="00671D77">
            <w:pPr>
              <w:jc w:val="center"/>
              <w:rPr>
                <w:rFonts w:cs="Arial"/>
                <w:color w:val="000000"/>
              </w:rPr>
            </w:pPr>
            <w:r>
              <w:rPr>
                <w:rFonts w:cs="Arial"/>
                <w:color w:val="000000"/>
              </w:rPr>
              <w:t>SFM</w:t>
            </w:r>
          </w:p>
        </w:tc>
        <w:tc>
          <w:tcPr>
            <w:tcW w:w="1195" w:type="dxa"/>
            <w:shd w:val="clear" w:color="auto" w:fill="auto"/>
            <w:vAlign w:val="bottom"/>
            <w:hideMark/>
          </w:tcPr>
          <w:p w:rsidR="00671D77" w:rsidRDefault="00671D77">
            <w:pPr>
              <w:jc w:val="center"/>
              <w:rPr>
                <w:rFonts w:cs="Arial"/>
                <w:color w:val="000000"/>
              </w:rPr>
            </w:pPr>
            <w:r>
              <w:rPr>
                <w:rFonts w:cs="Arial"/>
                <w:color w:val="000000"/>
              </w:rPr>
              <w:t>ROB, NC</w:t>
            </w:r>
          </w:p>
        </w:tc>
        <w:tc>
          <w:tcPr>
            <w:tcW w:w="1192" w:type="dxa"/>
            <w:shd w:val="clear" w:color="auto" w:fill="auto"/>
            <w:vAlign w:val="bottom"/>
            <w:hideMark/>
          </w:tcPr>
          <w:p w:rsidR="00671D77" w:rsidRDefault="00671D77">
            <w:pPr>
              <w:jc w:val="center"/>
              <w:rPr>
                <w:rFonts w:cs="Arial"/>
                <w:color w:val="000000"/>
              </w:rPr>
            </w:pPr>
            <w:r>
              <w:rPr>
                <w:rFonts w:cs="Arial"/>
                <w:color w:val="000000"/>
              </w:rPr>
              <w:t xml:space="preserve">$1,949.59 </w:t>
            </w:r>
          </w:p>
        </w:tc>
        <w:tc>
          <w:tcPr>
            <w:tcW w:w="1173" w:type="dxa"/>
            <w:shd w:val="clear" w:color="auto" w:fill="auto"/>
            <w:vAlign w:val="bottom"/>
            <w:hideMark/>
          </w:tcPr>
          <w:p w:rsidR="00671D77" w:rsidRDefault="00671D77" w:rsidP="00D45FBB">
            <w:pPr>
              <w:jc w:val="center"/>
              <w:rPr>
                <w:rFonts w:cs="Arial"/>
                <w:color w:val="000000"/>
              </w:rPr>
            </w:pPr>
            <w:r>
              <w:rPr>
                <w:rFonts w:cs="Arial"/>
                <w:color w:val="000000"/>
              </w:rPr>
              <w:t xml:space="preserve">$373.18 </w:t>
            </w:r>
          </w:p>
        </w:tc>
        <w:tc>
          <w:tcPr>
            <w:tcW w:w="1362" w:type="dxa"/>
            <w:shd w:val="clear" w:color="auto" w:fill="auto"/>
            <w:vAlign w:val="bottom"/>
            <w:hideMark/>
          </w:tcPr>
          <w:p w:rsidR="00671D77" w:rsidRDefault="00671D77">
            <w:pPr>
              <w:jc w:val="center"/>
              <w:rPr>
                <w:rFonts w:cs="Arial"/>
                <w:color w:val="000000"/>
              </w:rPr>
            </w:pPr>
            <w:r>
              <w:rPr>
                <w:rFonts w:cs="Arial"/>
                <w:color w:val="000000"/>
              </w:rPr>
              <w:t xml:space="preserve">$0 </w:t>
            </w:r>
          </w:p>
        </w:tc>
        <w:tc>
          <w:tcPr>
            <w:tcW w:w="1152" w:type="dxa"/>
            <w:shd w:val="clear" w:color="auto" w:fill="auto"/>
            <w:vAlign w:val="bottom"/>
            <w:hideMark/>
          </w:tcPr>
          <w:p w:rsidR="00671D77" w:rsidRDefault="00671D77" w:rsidP="009C071D">
            <w:pPr>
              <w:jc w:val="center"/>
              <w:rPr>
                <w:rFonts w:cs="Arial"/>
                <w:color w:val="000000"/>
              </w:rPr>
            </w:pPr>
            <w:r>
              <w:rPr>
                <w:rFonts w:cs="Arial"/>
                <w:color w:val="000000"/>
              </w:rPr>
              <w:t xml:space="preserve">$2,322.77 </w:t>
            </w:r>
          </w:p>
        </w:tc>
      </w:tr>
      <w:tr w:rsidR="00671D77" w:rsidRPr="00D37601" w:rsidTr="00671D77">
        <w:trPr>
          <w:trHeight w:val="540"/>
          <w:jc w:val="center"/>
        </w:trPr>
        <w:tc>
          <w:tcPr>
            <w:tcW w:w="1293" w:type="dxa"/>
            <w:shd w:val="clear" w:color="auto" w:fill="auto"/>
            <w:vAlign w:val="bottom"/>
            <w:hideMark/>
          </w:tcPr>
          <w:p w:rsidR="00671D77" w:rsidRDefault="00671D77">
            <w:pPr>
              <w:jc w:val="center"/>
              <w:rPr>
                <w:rFonts w:cs="Arial"/>
                <w:color w:val="000000"/>
              </w:rPr>
            </w:pPr>
            <w:r>
              <w:rPr>
                <w:rFonts w:cs="Arial"/>
                <w:color w:val="000000"/>
              </w:rPr>
              <w:t>MFm</w:t>
            </w:r>
          </w:p>
        </w:tc>
        <w:tc>
          <w:tcPr>
            <w:tcW w:w="1195" w:type="dxa"/>
            <w:shd w:val="clear" w:color="auto" w:fill="auto"/>
            <w:vAlign w:val="bottom"/>
            <w:hideMark/>
          </w:tcPr>
          <w:p w:rsidR="00671D77" w:rsidRDefault="00671D77">
            <w:pPr>
              <w:jc w:val="center"/>
              <w:rPr>
                <w:rFonts w:cs="Arial"/>
                <w:color w:val="000000"/>
              </w:rPr>
            </w:pPr>
            <w:r>
              <w:rPr>
                <w:rFonts w:cs="Arial"/>
                <w:color w:val="000000"/>
              </w:rPr>
              <w:t>ROB, NC</w:t>
            </w:r>
          </w:p>
        </w:tc>
        <w:tc>
          <w:tcPr>
            <w:tcW w:w="1192" w:type="dxa"/>
            <w:shd w:val="clear" w:color="auto" w:fill="auto"/>
            <w:vAlign w:val="bottom"/>
            <w:hideMark/>
          </w:tcPr>
          <w:p w:rsidR="00671D77" w:rsidRDefault="00671D77">
            <w:pPr>
              <w:jc w:val="center"/>
              <w:rPr>
                <w:rFonts w:cs="Arial"/>
                <w:color w:val="000000"/>
              </w:rPr>
            </w:pPr>
            <w:r>
              <w:rPr>
                <w:rFonts w:cs="Arial"/>
                <w:color w:val="000000"/>
              </w:rPr>
              <w:t xml:space="preserve">$979.37 </w:t>
            </w:r>
          </w:p>
        </w:tc>
        <w:tc>
          <w:tcPr>
            <w:tcW w:w="1173" w:type="dxa"/>
            <w:shd w:val="clear" w:color="auto" w:fill="auto"/>
            <w:vAlign w:val="bottom"/>
            <w:hideMark/>
          </w:tcPr>
          <w:p w:rsidR="00671D77" w:rsidRDefault="00671D77" w:rsidP="00D45FBB">
            <w:pPr>
              <w:jc w:val="center"/>
              <w:rPr>
                <w:rFonts w:cs="Arial"/>
                <w:color w:val="000000"/>
              </w:rPr>
            </w:pPr>
            <w:r>
              <w:rPr>
                <w:rFonts w:cs="Arial"/>
                <w:color w:val="000000"/>
              </w:rPr>
              <w:t xml:space="preserve">$187.46 </w:t>
            </w:r>
          </w:p>
        </w:tc>
        <w:tc>
          <w:tcPr>
            <w:tcW w:w="1362" w:type="dxa"/>
            <w:shd w:val="clear" w:color="auto" w:fill="auto"/>
            <w:vAlign w:val="bottom"/>
            <w:hideMark/>
          </w:tcPr>
          <w:p w:rsidR="00671D77" w:rsidRDefault="00671D77">
            <w:pPr>
              <w:jc w:val="center"/>
              <w:rPr>
                <w:rFonts w:cs="Arial"/>
                <w:color w:val="000000"/>
              </w:rPr>
            </w:pPr>
            <w:r>
              <w:rPr>
                <w:rFonts w:cs="Arial"/>
                <w:color w:val="000000"/>
              </w:rPr>
              <w:t xml:space="preserve">$0 </w:t>
            </w:r>
          </w:p>
        </w:tc>
        <w:tc>
          <w:tcPr>
            <w:tcW w:w="1152" w:type="dxa"/>
            <w:shd w:val="clear" w:color="auto" w:fill="auto"/>
            <w:vAlign w:val="bottom"/>
            <w:hideMark/>
          </w:tcPr>
          <w:p w:rsidR="00671D77" w:rsidRDefault="00671D77">
            <w:pPr>
              <w:jc w:val="center"/>
              <w:rPr>
                <w:rFonts w:cs="Arial"/>
                <w:color w:val="000000"/>
              </w:rPr>
            </w:pPr>
            <w:r>
              <w:rPr>
                <w:rFonts w:cs="Arial"/>
                <w:color w:val="000000"/>
              </w:rPr>
              <w:t xml:space="preserve">$1,166.84 </w:t>
            </w:r>
          </w:p>
        </w:tc>
      </w:tr>
      <w:tr w:rsidR="00671D77" w:rsidRPr="00D37601" w:rsidTr="00671D77">
        <w:trPr>
          <w:trHeight w:val="540"/>
          <w:jc w:val="center"/>
        </w:trPr>
        <w:tc>
          <w:tcPr>
            <w:tcW w:w="1293" w:type="dxa"/>
            <w:shd w:val="clear" w:color="auto" w:fill="auto"/>
            <w:vAlign w:val="bottom"/>
            <w:hideMark/>
          </w:tcPr>
          <w:p w:rsidR="00671D77" w:rsidRDefault="00671D77">
            <w:pPr>
              <w:jc w:val="center"/>
              <w:rPr>
                <w:rFonts w:cs="Arial"/>
                <w:color w:val="000000"/>
              </w:rPr>
            </w:pPr>
            <w:r>
              <w:rPr>
                <w:rFonts w:cs="Arial"/>
                <w:color w:val="000000"/>
              </w:rPr>
              <w:t>DMO</w:t>
            </w:r>
          </w:p>
        </w:tc>
        <w:tc>
          <w:tcPr>
            <w:tcW w:w="1195" w:type="dxa"/>
            <w:shd w:val="clear" w:color="auto" w:fill="auto"/>
            <w:vAlign w:val="bottom"/>
            <w:hideMark/>
          </w:tcPr>
          <w:p w:rsidR="00671D77" w:rsidRDefault="00671D77">
            <w:pPr>
              <w:jc w:val="center"/>
              <w:rPr>
                <w:rFonts w:cs="Arial"/>
                <w:color w:val="000000"/>
              </w:rPr>
            </w:pPr>
            <w:r>
              <w:rPr>
                <w:rFonts w:cs="Arial"/>
                <w:color w:val="000000"/>
              </w:rPr>
              <w:t>ROB, NC</w:t>
            </w:r>
          </w:p>
        </w:tc>
        <w:tc>
          <w:tcPr>
            <w:tcW w:w="1192" w:type="dxa"/>
            <w:shd w:val="clear" w:color="auto" w:fill="auto"/>
            <w:vAlign w:val="bottom"/>
            <w:hideMark/>
          </w:tcPr>
          <w:p w:rsidR="00671D77" w:rsidRDefault="00671D77">
            <w:pPr>
              <w:jc w:val="center"/>
              <w:rPr>
                <w:rFonts w:cs="Arial"/>
                <w:color w:val="000000"/>
              </w:rPr>
            </w:pPr>
            <w:r>
              <w:rPr>
                <w:rFonts w:cs="Arial"/>
                <w:color w:val="000000"/>
              </w:rPr>
              <w:t xml:space="preserve">$1,678.05 </w:t>
            </w:r>
          </w:p>
        </w:tc>
        <w:tc>
          <w:tcPr>
            <w:tcW w:w="1173" w:type="dxa"/>
            <w:shd w:val="clear" w:color="auto" w:fill="auto"/>
            <w:vAlign w:val="bottom"/>
            <w:hideMark/>
          </w:tcPr>
          <w:p w:rsidR="00671D77" w:rsidRDefault="00671D77" w:rsidP="00D45FBB">
            <w:pPr>
              <w:jc w:val="center"/>
              <w:rPr>
                <w:rFonts w:cs="Arial"/>
                <w:color w:val="000000"/>
              </w:rPr>
            </w:pPr>
            <w:r>
              <w:rPr>
                <w:rFonts w:cs="Arial"/>
                <w:color w:val="000000"/>
              </w:rPr>
              <w:t xml:space="preserve">$321.20 </w:t>
            </w:r>
          </w:p>
        </w:tc>
        <w:tc>
          <w:tcPr>
            <w:tcW w:w="1362" w:type="dxa"/>
            <w:shd w:val="clear" w:color="auto" w:fill="auto"/>
            <w:vAlign w:val="bottom"/>
            <w:hideMark/>
          </w:tcPr>
          <w:p w:rsidR="00671D77" w:rsidRDefault="00671D77">
            <w:pPr>
              <w:jc w:val="center"/>
              <w:rPr>
                <w:rFonts w:cs="Arial"/>
                <w:color w:val="000000"/>
              </w:rPr>
            </w:pPr>
            <w:r>
              <w:rPr>
                <w:rFonts w:cs="Arial"/>
                <w:color w:val="000000"/>
              </w:rPr>
              <w:t xml:space="preserve">$0 </w:t>
            </w:r>
          </w:p>
        </w:tc>
        <w:tc>
          <w:tcPr>
            <w:tcW w:w="1152" w:type="dxa"/>
            <w:shd w:val="clear" w:color="auto" w:fill="auto"/>
            <w:vAlign w:val="bottom"/>
            <w:hideMark/>
          </w:tcPr>
          <w:p w:rsidR="00671D77" w:rsidRDefault="00671D77">
            <w:pPr>
              <w:jc w:val="center"/>
              <w:rPr>
                <w:rFonts w:cs="Arial"/>
                <w:color w:val="000000"/>
              </w:rPr>
            </w:pPr>
            <w:r>
              <w:rPr>
                <w:rFonts w:cs="Arial"/>
                <w:color w:val="000000"/>
              </w:rPr>
              <w:t xml:space="preserve">$1,999.25 </w:t>
            </w:r>
          </w:p>
        </w:tc>
      </w:tr>
    </w:tbl>
    <w:p w:rsidR="000C6719" w:rsidRDefault="008437DA" w:rsidP="00D17CA5">
      <w:pPr>
        <w:pStyle w:val="PR1"/>
        <w:numPr>
          <w:ilvl w:val="0"/>
          <w:numId w:val="0"/>
        </w:numPr>
        <w:spacing w:before="0"/>
        <w:ind w:left="1152"/>
      </w:pPr>
      <w:r w:rsidRPr="00D37601">
        <w:t>All costs are noted as $ per measure unit</w:t>
      </w:r>
    </w:p>
    <w:p w:rsidR="00A73DD3" w:rsidRDefault="001C644E" w:rsidP="00A73DD3">
      <w:pPr>
        <w:pStyle w:val="WPART"/>
      </w:pPr>
      <w:bookmarkStart w:id="52" w:name="_Toc214003099"/>
      <w:r>
        <w:lastRenderedPageBreak/>
        <w:t xml:space="preserve"> </w:t>
      </w:r>
      <w:bookmarkStart w:id="53" w:name="_Toc357762667"/>
      <w:r>
        <w:t>Incremental Measure Cost</w:t>
      </w:r>
      <w:bookmarkEnd w:id="53"/>
      <w:r>
        <w:t xml:space="preserve"> </w:t>
      </w:r>
    </w:p>
    <w:p w:rsidR="003401CC" w:rsidRDefault="003401CC" w:rsidP="00D37601">
      <w:pPr>
        <w:pStyle w:val="PR1"/>
      </w:pPr>
      <w:r w:rsidRPr="003401CC">
        <w:t xml:space="preserve">Incremental Measure Cost is the premium cost to install an energy efficient measure over a standard efficiency measure or code baseline measure. While IMC has a straightforward definition depending on the Measure Application type, the equation does vary. </w:t>
      </w:r>
    </w:p>
    <w:p w:rsidR="003401CC" w:rsidRDefault="003401CC" w:rsidP="009C2EE6">
      <w:pPr>
        <w:ind w:left="1152"/>
      </w:pPr>
      <w:r w:rsidRPr="00D37601">
        <w:t>This Measure Application Types are: NC or ROB so the Incremental</w:t>
      </w:r>
      <w:r w:rsidR="00780145" w:rsidRPr="00D37601">
        <w:t xml:space="preserve"> Measure Cost (I</w:t>
      </w:r>
      <w:r w:rsidRPr="00D37601">
        <w:t>MC) is represented by the appropriate equation below:</w:t>
      </w:r>
    </w:p>
    <w:p w:rsidR="00D37601" w:rsidRPr="00D37601" w:rsidRDefault="00D37601" w:rsidP="00D37601">
      <w:pPr>
        <w:ind w:left="1080"/>
      </w:pPr>
    </w:p>
    <w:p w:rsidR="003401CC" w:rsidRDefault="003401CC" w:rsidP="009C2EE6">
      <w:pPr>
        <w:ind w:left="1080" w:firstLine="72"/>
      </w:pPr>
      <w:r w:rsidRPr="00D37601">
        <w:t>IMC = Measure Equipment Cost – Base Case Equipment Cost</w:t>
      </w:r>
    </w:p>
    <w:p w:rsidR="00D37601" w:rsidRPr="00D37601" w:rsidRDefault="009C2EE6" w:rsidP="00D37601">
      <w:pPr>
        <w:ind w:left="1080"/>
      </w:pPr>
      <w:r>
        <w:tab/>
      </w:r>
    </w:p>
    <w:p w:rsidR="00780145" w:rsidRDefault="003401CC" w:rsidP="009C2EE6">
      <w:pPr>
        <w:ind w:left="1080"/>
        <w:rPr>
          <w:b/>
          <w:caps/>
        </w:rPr>
      </w:pPr>
      <w:r w:rsidRPr="00D37601">
        <w:t>*Note: Various complicated price fluctuations are not addressed in these equations, such as future costs due to inflation in labor, future costs due to deflation in material cost, and other variables that cannot be accurately described at this time.  We assume that, unless stated otherwise, the measure case labor and base case labor are assumed to be the same value</w:t>
      </w:r>
      <w:bookmarkStart w:id="54" w:name="_MON_1382719630"/>
      <w:bookmarkEnd w:id="54"/>
      <w:r w:rsidRPr="00D37601">
        <w:t>.</w:t>
      </w:r>
      <w:bookmarkStart w:id="55" w:name="_Toc327873669"/>
    </w:p>
    <w:p w:rsidR="003401CC" w:rsidRDefault="00132837" w:rsidP="00132837">
      <w:pPr>
        <w:pStyle w:val="TBL"/>
        <w:keepNext/>
        <w:ind w:left="360"/>
      </w:pPr>
      <w:bookmarkStart w:id="56" w:name="_Toc355245891"/>
      <w:bookmarkStart w:id="57" w:name="_Toc384913204"/>
      <w:r>
        <w:t xml:space="preserve">Table </w:t>
      </w:r>
      <w:r w:rsidR="006F409E">
        <w:fldChar w:fldCharType="begin"/>
      </w:r>
      <w:r w:rsidR="00231A62">
        <w:instrText xml:space="preserve"> SEQ Table \* ARABIC </w:instrText>
      </w:r>
      <w:r w:rsidR="006F409E">
        <w:fldChar w:fldCharType="separate"/>
      </w:r>
      <w:r w:rsidR="003322A7">
        <w:rPr>
          <w:noProof/>
        </w:rPr>
        <w:t>12</w:t>
      </w:r>
      <w:r w:rsidR="006F409E">
        <w:rPr>
          <w:noProof/>
        </w:rPr>
        <w:fldChar w:fldCharType="end"/>
      </w:r>
      <w:r w:rsidRPr="0006222F">
        <w:t>: Summary of ICM Costs (per furnace)</w:t>
      </w:r>
      <w:bookmarkEnd w:id="55"/>
      <w:bookmarkEnd w:id="56"/>
      <w:bookmarkEnd w:id="57"/>
    </w:p>
    <w:tbl>
      <w:tblPr>
        <w:tblW w:w="8460" w:type="dxa"/>
        <w:tblInd w:w="558" w:type="dxa"/>
        <w:tblLook w:val="04A0" w:firstRow="1" w:lastRow="0" w:firstColumn="1" w:lastColumn="0" w:noHBand="0" w:noVBand="1"/>
      </w:tblPr>
      <w:tblGrid>
        <w:gridCol w:w="1711"/>
        <w:gridCol w:w="1540"/>
        <w:gridCol w:w="1699"/>
        <w:gridCol w:w="1631"/>
        <w:gridCol w:w="1879"/>
      </w:tblGrid>
      <w:tr w:rsidR="00AD22C9" w:rsidRPr="00AD22C9" w:rsidTr="00AD22C9">
        <w:trPr>
          <w:trHeight w:val="780"/>
        </w:trPr>
        <w:tc>
          <w:tcPr>
            <w:tcW w:w="17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AFUE</w:t>
            </w:r>
          </w:p>
        </w:tc>
        <w:tc>
          <w:tcPr>
            <w:tcW w:w="1540" w:type="dxa"/>
            <w:tcBorders>
              <w:top w:val="single" w:sz="4" w:space="0" w:color="auto"/>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Building Type</w:t>
            </w:r>
          </w:p>
        </w:tc>
        <w:tc>
          <w:tcPr>
            <w:tcW w:w="1699" w:type="dxa"/>
            <w:tcBorders>
              <w:top w:val="single" w:sz="4" w:space="0" w:color="auto"/>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Measure Application Type</w:t>
            </w:r>
          </w:p>
        </w:tc>
        <w:tc>
          <w:tcPr>
            <w:tcW w:w="1631" w:type="dxa"/>
            <w:tcBorders>
              <w:top w:val="single" w:sz="4" w:space="0" w:color="auto"/>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Baseline</w:t>
            </w:r>
          </w:p>
        </w:tc>
        <w:tc>
          <w:tcPr>
            <w:tcW w:w="1879" w:type="dxa"/>
            <w:tcBorders>
              <w:top w:val="single" w:sz="4" w:space="0" w:color="auto"/>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Incremental Measure Cost</w:t>
            </w:r>
          </w:p>
        </w:tc>
      </w:tr>
      <w:tr w:rsidR="00AD22C9" w:rsidRPr="00AD22C9" w:rsidTr="00AD22C9">
        <w:trPr>
          <w:trHeight w:val="300"/>
        </w:trPr>
        <w:tc>
          <w:tcPr>
            <w:tcW w:w="1711" w:type="dxa"/>
            <w:tcBorders>
              <w:top w:val="nil"/>
              <w:left w:val="single" w:sz="4" w:space="0" w:color="auto"/>
              <w:bottom w:val="single" w:sz="4" w:space="0" w:color="auto"/>
              <w:right w:val="single" w:sz="4" w:space="0" w:color="auto"/>
            </w:tcBorders>
            <w:shd w:val="clear" w:color="auto" w:fill="auto"/>
            <w:noWrap/>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 92% &amp; &lt; 95%</w:t>
            </w:r>
          </w:p>
        </w:tc>
        <w:tc>
          <w:tcPr>
            <w:tcW w:w="1540"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SFM</w:t>
            </w:r>
          </w:p>
        </w:tc>
        <w:tc>
          <w:tcPr>
            <w:tcW w:w="1699"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ROB, NC</w:t>
            </w:r>
          </w:p>
        </w:tc>
        <w:tc>
          <w:tcPr>
            <w:tcW w:w="1631"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Code</w:t>
            </w:r>
          </w:p>
        </w:tc>
        <w:tc>
          <w:tcPr>
            <w:tcW w:w="1879" w:type="dxa"/>
            <w:tcBorders>
              <w:top w:val="nil"/>
              <w:left w:val="nil"/>
              <w:bottom w:val="single" w:sz="4" w:space="0" w:color="auto"/>
              <w:right w:val="single" w:sz="4" w:space="0" w:color="auto"/>
            </w:tcBorders>
            <w:shd w:val="clear" w:color="auto" w:fill="auto"/>
            <w:noWrap/>
            <w:vAlign w:val="bottom"/>
            <w:hideMark/>
          </w:tcPr>
          <w:p w:rsidR="00AD22C9" w:rsidRPr="00AD22C9" w:rsidRDefault="009C071D" w:rsidP="00AD22C9">
            <w:pPr>
              <w:jc w:val="right"/>
              <w:rPr>
                <w:rFonts w:eastAsia="Times New Roman" w:cs="Arial"/>
                <w:color w:val="000000"/>
                <w:lang w:eastAsia="zh-TW"/>
              </w:rPr>
            </w:pPr>
            <w:r>
              <w:rPr>
                <w:rFonts w:eastAsia="Times New Roman" w:cs="Arial"/>
                <w:color w:val="000000"/>
                <w:lang w:eastAsia="zh-TW"/>
              </w:rPr>
              <w:t>$131.63</w:t>
            </w:r>
            <w:r w:rsidR="00AD22C9" w:rsidRPr="00AD22C9">
              <w:rPr>
                <w:rFonts w:eastAsia="Times New Roman" w:cs="Arial"/>
                <w:color w:val="000000"/>
                <w:lang w:eastAsia="zh-TW"/>
              </w:rPr>
              <w:t xml:space="preserve"> </w:t>
            </w:r>
          </w:p>
        </w:tc>
      </w:tr>
      <w:tr w:rsidR="00AD22C9" w:rsidRPr="00AD22C9" w:rsidTr="00AD22C9">
        <w:trPr>
          <w:trHeight w:val="300"/>
        </w:trPr>
        <w:tc>
          <w:tcPr>
            <w:tcW w:w="1711" w:type="dxa"/>
            <w:tcBorders>
              <w:top w:val="nil"/>
              <w:left w:val="single" w:sz="4" w:space="0" w:color="auto"/>
              <w:bottom w:val="single" w:sz="4" w:space="0" w:color="auto"/>
              <w:right w:val="single" w:sz="4" w:space="0" w:color="auto"/>
            </w:tcBorders>
            <w:shd w:val="clear" w:color="auto" w:fill="auto"/>
            <w:noWrap/>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 92% &amp; &lt; 95%</w:t>
            </w:r>
          </w:p>
        </w:tc>
        <w:tc>
          <w:tcPr>
            <w:tcW w:w="1540"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MFm</w:t>
            </w:r>
          </w:p>
        </w:tc>
        <w:tc>
          <w:tcPr>
            <w:tcW w:w="1699"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ROB, NC</w:t>
            </w:r>
          </w:p>
        </w:tc>
        <w:tc>
          <w:tcPr>
            <w:tcW w:w="1631"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Code</w:t>
            </w:r>
          </w:p>
        </w:tc>
        <w:tc>
          <w:tcPr>
            <w:tcW w:w="1879" w:type="dxa"/>
            <w:tcBorders>
              <w:top w:val="nil"/>
              <w:left w:val="nil"/>
              <w:bottom w:val="single" w:sz="4" w:space="0" w:color="auto"/>
              <w:right w:val="single" w:sz="4" w:space="0" w:color="auto"/>
            </w:tcBorders>
            <w:shd w:val="clear" w:color="auto" w:fill="auto"/>
            <w:noWrap/>
            <w:vAlign w:val="bottom"/>
            <w:hideMark/>
          </w:tcPr>
          <w:p w:rsidR="00AD22C9" w:rsidRPr="00AD22C9" w:rsidRDefault="009C071D" w:rsidP="00AD22C9">
            <w:pPr>
              <w:jc w:val="right"/>
              <w:rPr>
                <w:rFonts w:eastAsia="Times New Roman" w:cs="Arial"/>
                <w:color w:val="000000"/>
                <w:lang w:eastAsia="zh-TW"/>
              </w:rPr>
            </w:pPr>
            <w:r>
              <w:rPr>
                <w:rFonts w:eastAsia="Times New Roman" w:cs="Arial"/>
                <w:color w:val="000000"/>
                <w:lang w:eastAsia="zh-TW"/>
              </w:rPr>
              <w:t>$66.13</w:t>
            </w:r>
            <w:r w:rsidR="00AD22C9" w:rsidRPr="00AD22C9">
              <w:rPr>
                <w:rFonts w:eastAsia="Times New Roman" w:cs="Arial"/>
                <w:color w:val="000000"/>
                <w:lang w:eastAsia="zh-TW"/>
              </w:rPr>
              <w:t xml:space="preserve"> </w:t>
            </w:r>
          </w:p>
        </w:tc>
      </w:tr>
      <w:tr w:rsidR="00AD22C9" w:rsidRPr="00AD22C9" w:rsidTr="00AD22C9">
        <w:trPr>
          <w:trHeight w:val="300"/>
        </w:trPr>
        <w:tc>
          <w:tcPr>
            <w:tcW w:w="1711" w:type="dxa"/>
            <w:tcBorders>
              <w:top w:val="nil"/>
              <w:left w:val="single" w:sz="4" w:space="0" w:color="auto"/>
              <w:bottom w:val="single" w:sz="4" w:space="0" w:color="auto"/>
              <w:right w:val="single" w:sz="4" w:space="0" w:color="auto"/>
            </w:tcBorders>
            <w:shd w:val="clear" w:color="auto" w:fill="auto"/>
            <w:noWrap/>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 92% &amp; &lt; 95%</w:t>
            </w:r>
          </w:p>
        </w:tc>
        <w:tc>
          <w:tcPr>
            <w:tcW w:w="1540"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DMO</w:t>
            </w:r>
          </w:p>
        </w:tc>
        <w:tc>
          <w:tcPr>
            <w:tcW w:w="1699"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ROB, NC</w:t>
            </w:r>
          </w:p>
        </w:tc>
        <w:tc>
          <w:tcPr>
            <w:tcW w:w="1631"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Code</w:t>
            </w:r>
          </w:p>
        </w:tc>
        <w:tc>
          <w:tcPr>
            <w:tcW w:w="1879" w:type="dxa"/>
            <w:tcBorders>
              <w:top w:val="nil"/>
              <w:left w:val="nil"/>
              <w:bottom w:val="single" w:sz="4" w:space="0" w:color="auto"/>
              <w:right w:val="single" w:sz="4" w:space="0" w:color="auto"/>
            </w:tcBorders>
            <w:shd w:val="clear" w:color="auto" w:fill="auto"/>
            <w:noWrap/>
            <w:vAlign w:val="bottom"/>
            <w:hideMark/>
          </w:tcPr>
          <w:p w:rsidR="00AD22C9" w:rsidRPr="00AD22C9" w:rsidRDefault="009C071D" w:rsidP="00AD22C9">
            <w:pPr>
              <w:jc w:val="right"/>
              <w:rPr>
                <w:rFonts w:eastAsia="Times New Roman" w:cs="Arial"/>
                <w:color w:val="000000"/>
                <w:lang w:eastAsia="zh-TW"/>
              </w:rPr>
            </w:pPr>
            <w:r>
              <w:rPr>
                <w:rFonts w:eastAsia="Times New Roman" w:cs="Arial"/>
                <w:color w:val="000000"/>
                <w:lang w:eastAsia="zh-TW"/>
              </w:rPr>
              <w:t>$113.30</w:t>
            </w:r>
            <w:r w:rsidR="00AD22C9" w:rsidRPr="00AD22C9">
              <w:rPr>
                <w:rFonts w:eastAsia="Times New Roman" w:cs="Arial"/>
                <w:color w:val="000000"/>
                <w:lang w:eastAsia="zh-TW"/>
              </w:rPr>
              <w:t xml:space="preserve"> </w:t>
            </w:r>
          </w:p>
        </w:tc>
      </w:tr>
      <w:tr w:rsidR="00AD22C9" w:rsidRPr="00AD22C9" w:rsidTr="00AD22C9">
        <w:trPr>
          <w:trHeight w:val="300"/>
        </w:trPr>
        <w:tc>
          <w:tcPr>
            <w:tcW w:w="1711" w:type="dxa"/>
            <w:tcBorders>
              <w:top w:val="nil"/>
              <w:left w:val="single" w:sz="4" w:space="0" w:color="auto"/>
              <w:bottom w:val="single" w:sz="4" w:space="0" w:color="auto"/>
              <w:right w:val="single" w:sz="4" w:space="0" w:color="auto"/>
            </w:tcBorders>
            <w:shd w:val="clear" w:color="auto" w:fill="auto"/>
            <w:noWrap/>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 95% &amp; &lt; 96%</w:t>
            </w:r>
          </w:p>
        </w:tc>
        <w:tc>
          <w:tcPr>
            <w:tcW w:w="1540"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SFM</w:t>
            </w:r>
          </w:p>
        </w:tc>
        <w:tc>
          <w:tcPr>
            <w:tcW w:w="1699"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ROB, NC</w:t>
            </w:r>
          </w:p>
        </w:tc>
        <w:tc>
          <w:tcPr>
            <w:tcW w:w="1631"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Code</w:t>
            </w:r>
          </w:p>
        </w:tc>
        <w:tc>
          <w:tcPr>
            <w:tcW w:w="1879" w:type="dxa"/>
            <w:tcBorders>
              <w:top w:val="nil"/>
              <w:left w:val="nil"/>
              <w:bottom w:val="single" w:sz="4" w:space="0" w:color="auto"/>
              <w:right w:val="single" w:sz="4" w:space="0" w:color="auto"/>
            </w:tcBorders>
            <w:shd w:val="clear" w:color="auto" w:fill="auto"/>
            <w:noWrap/>
            <w:vAlign w:val="bottom"/>
            <w:hideMark/>
          </w:tcPr>
          <w:p w:rsidR="00AD22C9" w:rsidRPr="00AD22C9" w:rsidRDefault="00494806" w:rsidP="00AD22C9">
            <w:pPr>
              <w:jc w:val="right"/>
              <w:rPr>
                <w:rFonts w:eastAsia="Times New Roman" w:cs="Arial"/>
                <w:color w:val="000000"/>
                <w:lang w:eastAsia="zh-TW"/>
              </w:rPr>
            </w:pPr>
            <w:r>
              <w:rPr>
                <w:rFonts w:eastAsia="Times New Roman" w:cs="Arial"/>
                <w:color w:val="000000"/>
                <w:lang w:eastAsia="zh-TW"/>
              </w:rPr>
              <w:t>$441.55</w:t>
            </w:r>
            <w:r w:rsidR="00AD22C9" w:rsidRPr="00AD22C9">
              <w:rPr>
                <w:rFonts w:eastAsia="Times New Roman" w:cs="Arial"/>
                <w:color w:val="000000"/>
                <w:lang w:eastAsia="zh-TW"/>
              </w:rPr>
              <w:t xml:space="preserve"> </w:t>
            </w:r>
          </w:p>
        </w:tc>
      </w:tr>
      <w:tr w:rsidR="00AD22C9" w:rsidRPr="00AD22C9" w:rsidTr="00AD22C9">
        <w:trPr>
          <w:trHeight w:val="300"/>
        </w:trPr>
        <w:tc>
          <w:tcPr>
            <w:tcW w:w="1711" w:type="dxa"/>
            <w:tcBorders>
              <w:top w:val="nil"/>
              <w:left w:val="single" w:sz="4" w:space="0" w:color="auto"/>
              <w:bottom w:val="single" w:sz="4" w:space="0" w:color="auto"/>
              <w:right w:val="single" w:sz="4" w:space="0" w:color="auto"/>
            </w:tcBorders>
            <w:shd w:val="clear" w:color="auto" w:fill="auto"/>
            <w:noWrap/>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 95% &amp; &lt; 96%</w:t>
            </w:r>
          </w:p>
        </w:tc>
        <w:tc>
          <w:tcPr>
            <w:tcW w:w="1540"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MFm</w:t>
            </w:r>
          </w:p>
        </w:tc>
        <w:tc>
          <w:tcPr>
            <w:tcW w:w="1699"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ROB, NC</w:t>
            </w:r>
          </w:p>
        </w:tc>
        <w:tc>
          <w:tcPr>
            <w:tcW w:w="1631"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Code</w:t>
            </w:r>
          </w:p>
        </w:tc>
        <w:tc>
          <w:tcPr>
            <w:tcW w:w="1879" w:type="dxa"/>
            <w:tcBorders>
              <w:top w:val="nil"/>
              <w:left w:val="nil"/>
              <w:bottom w:val="single" w:sz="4" w:space="0" w:color="auto"/>
              <w:right w:val="single" w:sz="4" w:space="0" w:color="auto"/>
            </w:tcBorders>
            <w:shd w:val="clear" w:color="auto" w:fill="auto"/>
            <w:noWrap/>
            <w:vAlign w:val="bottom"/>
            <w:hideMark/>
          </w:tcPr>
          <w:p w:rsidR="00AD22C9" w:rsidRPr="00AD22C9" w:rsidRDefault="00494806" w:rsidP="00AD22C9">
            <w:pPr>
              <w:jc w:val="right"/>
              <w:rPr>
                <w:rFonts w:eastAsia="Times New Roman" w:cs="Arial"/>
                <w:color w:val="000000"/>
                <w:lang w:eastAsia="zh-TW"/>
              </w:rPr>
            </w:pPr>
            <w:r>
              <w:rPr>
                <w:rFonts w:eastAsia="Times New Roman" w:cs="Arial"/>
                <w:color w:val="000000"/>
                <w:lang w:eastAsia="zh-TW"/>
              </w:rPr>
              <w:t>$221.81</w:t>
            </w:r>
            <w:r w:rsidR="00AD22C9" w:rsidRPr="00AD22C9">
              <w:rPr>
                <w:rFonts w:eastAsia="Times New Roman" w:cs="Arial"/>
                <w:color w:val="000000"/>
                <w:lang w:eastAsia="zh-TW"/>
              </w:rPr>
              <w:t xml:space="preserve"> </w:t>
            </w:r>
          </w:p>
        </w:tc>
      </w:tr>
      <w:tr w:rsidR="00AD22C9" w:rsidRPr="00AD22C9" w:rsidTr="00AD22C9">
        <w:trPr>
          <w:trHeight w:val="300"/>
        </w:trPr>
        <w:tc>
          <w:tcPr>
            <w:tcW w:w="1711" w:type="dxa"/>
            <w:tcBorders>
              <w:top w:val="nil"/>
              <w:left w:val="single" w:sz="4" w:space="0" w:color="auto"/>
              <w:bottom w:val="single" w:sz="4" w:space="0" w:color="auto"/>
              <w:right w:val="single" w:sz="4" w:space="0" w:color="auto"/>
            </w:tcBorders>
            <w:shd w:val="clear" w:color="auto" w:fill="auto"/>
            <w:noWrap/>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 95% &amp; &lt; 96%</w:t>
            </w:r>
          </w:p>
        </w:tc>
        <w:tc>
          <w:tcPr>
            <w:tcW w:w="1540"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DMO</w:t>
            </w:r>
          </w:p>
        </w:tc>
        <w:tc>
          <w:tcPr>
            <w:tcW w:w="1699"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ROB, NC</w:t>
            </w:r>
          </w:p>
        </w:tc>
        <w:tc>
          <w:tcPr>
            <w:tcW w:w="1631"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Code</w:t>
            </w:r>
          </w:p>
        </w:tc>
        <w:tc>
          <w:tcPr>
            <w:tcW w:w="1879" w:type="dxa"/>
            <w:tcBorders>
              <w:top w:val="nil"/>
              <w:left w:val="nil"/>
              <w:bottom w:val="single" w:sz="4" w:space="0" w:color="auto"/>
              <w:right w:val="single" w:sz="4" w:space="0" w:color="auto"/>
            </w:tcBorders>
            <w:shd w:val="clear" w:color="auto" w:fill="auto"/>
            <w:noWrap/>
            <w:vAlign w:val="bottom"/>
            <w:hideMark/>
          </w:tcPr>
          <w:p w:rsidR="00AD22C9" w:rsidRPr="00AD22C9" w:rsidRDefault="00494806" w:rsidP="00AD22C9">
            <w:pPr>
              <w:jc w:val="right"/>
              <w:rPr>
                <w:rFonts w:eastAsia="Times New Roman" w:cs="Arial"/>
                <w:color w:val="000000"/>
                <w:lang w:eastAsia="zh-TW"/>
              </w:rPr>
            </w:pPr>
            <w:r>
              <w:rPr>
                <w:rFonts w:eastAsia="Times New Roman" w:cs="Arial"/>
                <w:color w:val="000000"/>
                <w:lang w:eastAsia="zh-TW"/>
              </w:rPr>
              <w:t>$380.05</w:t>
            </w:r>
            <w:r w:rsidR="00AD22C9" w:rsidRPr="00AD22C9">
              <w:rPr>
                <w:rFonts w:eastAsia="Times New Roman" w:cs="Arial"/>
                <w:color w:val="000000"/>
                <w:lang w:eastAsia="zh-TW"/>
              </w:rPr>
              <w:t xml:space="preserve"> </w:t>
            </w:r>
          </w:p>
        </w:tc>
      </w:tr>
      <w:tr w:rsidR="00AD22C9" w:rsidRPr="00AD22C9" w:rsidTr="00AD22C9">
        <w:trPr>
          <w:trHeight w:val="300"/>
        </w:trPr>
        <w:tc>
          <w:tcPr>
            <w:tcW w:w="1711" w:type="dxa"/>
            <w:tcBorders>
              <w:top w:val="nil"/>
              <w:left w:val="single" w:sz="4" w:space="0" w:color="auto"/>
              <w:bottom w:val="single" w:sz="4" w:space="0" w:color="auto"/>
              <w:right w:val="single" w:sz="4" w:space="0" w:color="auto"/>
            </w:tcBorders>
            <w:shd w:val="clear" w:color="auto" w:fill="auto"/>
            <w:noWrap/>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 96% &amp; &lt; 97%</w:t>
            </w:r>
          </w:p>
        </w:tc>
        <w:tc>
          <w:tcPr>
            <w:tcW w:w="1540"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SFM</w:t>
            </w:r>
          </w:p>
        </w:tc>
        <w:tc>
          <w:tcPr>
            <w:tcW w:w="1699"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ROB, NC</w:t>
            </w:r>
          </w:p>
        </w:tc>
        <w:tc>
          <w:tcPr>
            <w:tcW w:w="1631"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Code</w:t>
            </w:r>
          </w:p>
        </w:tc>
        <w:tc>
          <w:tcPr>
            <w:tcW w:w="1879" w:type="dxa"/>
            <w:tcBorders>
              <w:top w:val="nil"/>
              <w:left w:val="nil"/>
              <w:bottom w:val="single" w:sz="4" w:space="0" w:color="auto"/>
              <w:right w:val="single" w:sz="4" w:space="0" w:color="auto"/>
            </w:tcBorders>
            <w:shd w:val="clear" w:color="auto" w:fill="auto"/>
            <w:noWrap/>
            <w:vAlign w:val="bottom"/>
            <w:hideMark/>
          </w:tcPr>
          <w:p w:rsidR="00AD22C9" w:rsidRPr="00AD22C9" w:rsidRDefault="00494806" w:rsidP="00AD22C9">
            <w:pPr>
              <w:jc w:val="right"/>
              <w:rPr>
                <w:rFonts w:eastAsia="Times New Roman" w:cs="Arial"/>
                <w:color w:val="000000"/>
                <w:lang w:eastAsia="zh-TW"/>
              </w:rPr>
            </w:pPr>
            <w:r>
              <w:rPr>
                <w:rFonts w:eastAsia="Times New Roman" w:cs="Arial"/>
                <w:color w:val="000000"/>
                <w:lang w:eastAsia="zh-TW"/>
              </w:rPr>
              <w:t>$759.13</w:t>
            </w:r>
            <w:r w:rsidR="00AD22C9" w:rsidRPr="00AD22C9">
              <w:rPr>
                <w:rFonts w:eastAsia="Times New Roman" w:cs="Arial"/>
                <w:color w:val="000000"/>
                <w:lang w:eastAsia="zh-TW"/>
              </w:rPr>
              <w:t xml:space="preserve"> </w:t>
            </w:r>
          </w:p>
        </w:tc>
      </w:tr>
      <w:tr w:rsidR="00AD22C9" w:rsidRPr="00AD22C9" w:rsidTr="00AD22C9">
        <w:trPr>
          <w:trHeight w:val="300"/>
        </w:trPr>
        <w:tc>
          <w:tcPr>
            <w:tcW w:w="1711" w:type="dxa"/>
            <w:tcBorders>
              <w:top w:val="nil"/>
              <w:left w:val="single" w:sz="4" w:space="0" w:color="auto"/>
              <w:bottom w:val="single" w:sz="4" w:space="0" w:color="auto"/>
              <w:right w:val="single" w:sz="4" w:space="0" w:color="auto"/>
            </w:tcBorders>
            <w:shd w:val="clear" w:color="auto" w:fill="auto"/>
            <w:noWrap/>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 96% &amp; &lt; 97%</w:t>
            </w:r>
          </w:p>
        </w:tc>
        <w:tc>
          <w:tcPr>
            <w:tcW w:w="1540"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MFm</w:t>
            </w:r>
          </w:p>
        </w:tc>
        <w:tc>
          <w:tcPr>
            <w:tcW w:w="1699"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ROB, NC</w:t>
            </w:r>
          </w:p>
        </w:tc>
        <w:tc>
          <w:tcPr>
            <w:tcW w:w="1631"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Code</w:t>
            </w:r>
          </w:p>
        </w:tc>
        <w:tc>
          <w:tcPr>
            <w:tcW w:w="1879" w:type="dxa"/>
            <w:tcBorders>
              <w:top w:val="nil"/>
              <w:left w:val="nil"/>
              <w:bottom w:val="single" w:sz="4" w:space="0" w:color="auto"/>
              <w:right w:val="single" w:sz="4" w:space="0" w:color="auto"/>
            </w:tcBorders>
            <w:shd w:val="clear" w:color="auto" w:fill="auto"/>
            <w:noWrap/>
            <w:vAlign w:val="bottom"/>
            <w:hideMark/>
          </w:tcPr>
          <w:p w:rsidR="00AD22C9" w:rsidRPr="00AD22C9" w:rsidRDefault="00494806" w:rsidP="00AD22C9">
            <w:pPr>
              <w:jc w:val="right"/>
              <w:rPr>
                <w:rFonts w:eastAsia="Times New Roman" w:cs="Arial"/>
                <w:color w:val="000000"/>
                <w:lang w:eastAsia="zh-TW"/>
              </w:rPr>
            </w:pPr>
            <w:r>
              <w:rPr>
                <w:rFonts w:eastAsia="Times New Roman" w:cs="Arial"/>
                <w:color w:val="000000"/>
                <w:lang w:eastAsia="zh-TW"/>
              </w:rPr>
              <w:t>$381.35</w:t>
            </w:r>
            <w:r w:rsidR="00AD22C9" w:rsidRPr="00AD22C9">
              <w:rPr>
                <w:rFonts w:eastAsia="Times New Roman" w:cs="Arial"/>
                <w:color w:val="000000"/>
                <w:lang w:eastAsia="zh-TW"/>
              </w:rPr>
              <w:t xml:space="preserve"> </w:t>
            </w:r>
          </w:p>
        </w:tc>
      </w:tr>
      <w:tr w:rsidR="00AD22C9" w:rsidRPr="00AD22C9" w:rsidTr="00AD22C9">
        <w:trPr>
          <w:trHeight w:val="300"/>
        </w:trPr>
        <w:tc>
          <w:tcPr>
            <w:tcW w:w="1711" w:type="dxa"/>
            <w:tcBorders>
              <w:top w:val="nil"/>
              <w:left w:val="single" w:sz="4" w:space="0" w:color="auto"/>
              <w:bottom w:val="single" w:sz="4" w:space="0" w:color="auto"/>
              <w:right w:val="single" w:sz="4" w:space="0" w:color="auto"/>
            </w:tcBorders>
            <w:shd w:val="clear" w:color="auto" w:fill="auto"/>
            <w:noWrap/>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 96% &amp; &lt; 97%</w:t>
            </w:r>
          </w:p>
        </w:tc>
        <w:tc>
          <w:tcPr>
            <w:tcW w:w="1540"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DMO</w:t>
            </w:r>
          </w:p>
        </w:tc>
        <w:tc>
          <w:tcPr>
            <w:tcW w:w="1699"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ROB, NC</w:t>
            </w:r>
          </w:p>
        </w:tc>
        <w:tc>
          <w:tcPr>
            <w:tcW w:w="1631"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Code</w:t>
            </w:r>
          </w:p>
        </w:tc>
        <w:tc>
          <w:tcPr>
            <w:tcW w:w="1879" w:type="dxa"/>
            <w:tcBorders>
              <w:top w:val="nil"/>
              <w:left w:val="nil"/>
              <w:bottom w:val="single" w:sz="4" w:space="0" w:color="auto"/>
              <w:right w:val="single" w:sz="4" w:space="0" w:color="auto"/>
            </w:tcBorders>
            <w:shd w:val="clear" w:color="auto" w:fill="auto"/>
            <w:noWrap/>
            <w:vAlign w:val="bottom"/>
            <w:hideMark/>
          </w:tcPr>
          <w:p w:rsidR="00AD22C9" w:rsidRPr="00AD22C9" w:rsidRDefault="00494806" w:rsidP="00AD22C9">
            <w:pPr>
              <w:jc w:val="right"/>
              <w:rPr>
                <w:rFonts w:eastAsia="Times New Roman" w:cs="Arial"/>
                <w:color w:val="000000"/>
                <w:lang w:eastAsia="zh-TW"/>
              </w:rPr>
            </w:pPr>
            <w:r>
              <w:rPr>
                <w:rFonts w:eastAsia="Times New Roman" w:cs="Arial"/>
                <w:color w:val="000000"/>
                <w:lang w:eastAsia="zh-TW"/>
              </w:rPr>
              <w:t>$653.40</w:t>
            </w:r>
            <w:r w:rsidR="00AD22C9" w:rsidRPr="00AD22C9">
              <w:rPr>
                <w:rFonts w:eastAsia="Times New Roman" w:cs="Arial"/>
                <w:color w:val="000000"/>
                <w:lang w:eastAsia="zh-TW"/>
              </w:rPr>
              <w:t xml:space="preserve"> </w:t>
            </w:r>
          </w:p>
        </w:tc>
      </w:tr>
      <w:tr w:rsidR="00AD22C9" w:rsidRPr="00AD22C9" w:rsidTr="00AD22C9">
        <w:trPr>
          <w:trHeight w:val="300"/>
        </w:trPr>
        <w:tc>
          <w:tcPr>
            <w:tcW w:w="1711" w:type="dxa"/>
            <w:tcBorders>
              <w:top w:val="nil"/>
              <w:left w:val="single" w:sz="4" w:space="0" w:color="auto"/>
              <w:bottom w:val="single" w:sz="4" w:space="0" w:color="auto"/>
              <w:right w:val="single" w:sz="4" w:space="0" w:color="auto"/>
            </w:tcBorders>
            <w:shd w:val="clear" w:color="auto" w:fill="auto"/>
            <w:noWrap/>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 97%</w:t>
            </w:r>
          </w:p>
        </w:tc>
        <w:tc>
          <w:tcPr>
            <w:tcW w:w="1540"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SFM</w:t>
            </w:r>
          </w:p>
        </w:tc>
        <w:tc>
          <w:tcPr>
            <w:tcW w:w="1699"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ROB, NC</w:t>
            </w:r>
          </w:p>
        </w:tc>
        <w:tc>
          <w:tcPr>
            <w:tcW w:w="1631"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Code</w:t>
            </w:r>
          </w:p>
        </w:tc>
        <w:tc>
          <w:tcPr>
            <w:tcW w:w="1879" w:type="dxa"/>
            <w:tcBorders>
              <w:top w:val="nil"/>
              <w:left w:val="nil"/>
              <w:bottom w:val="single" w:sz="4" w:space="0" w:color="auto"/>
              <w:right w:val="single" w:sz="4" w:space="0" w:color="auto"/>
            </w:tcBorders>
            <w:shd w:val="clear" w:color="auto" w:fill="auto"/>
            <w:noWrap/>
            <w:vAlign w:val="bottom"/>
            <w:hideMark/>
          </w:tcPr>
          <w:p w:rsidR="00AD22C9" w:rsidRPr="00AD22C9" w:rsidRDefault="00494806" w:rsidP="00AD22C9">
            <w:pPr>
              <w:jc w:val="right"/>
              <w:rPr>
                <w:rFonts w:eastAsia="Times New Roman" w:cs="Arial"/>
                <w:color w:val="000000"/>
                <w:lang w:eastAsia="zh-TW"/>
              </w:rPr>
            </w:pPr>
            <w:r>
              <w:rPr>
                <w:rFonts w:eastAsia="Times New Roman" w:cs="Arial"/>
                <w:color w:val="000000"/>
                <w:lang w:eastAsia="zh-TW"/>
              </w:rPr>
              <w:t>$1,182.79</w:t>
            </w:r>
            <w:r w:rsidR="00AD22C9" w:rsidRPr="00AD22C9">
              <w:rPr>
                <w:rFonts w:eastAsia="Times New Roman" w:cs="Arial"/>
                <w:color w:val="000000"/>
                <w:lang w:eastAsia="zh-TW"/>
              </w:rPr>
              <w:t xml:space="preserve"> </w:t>
            </w:r>
          </w:p>
        </w:tc>
      </w:tr>
      <w:tr w:rsidR="00AD22C9" w:rsidRPr="00AD22C9" w:rsidTr="00AD22C9">
        <w:trPr>
          <w:trHeight w:val="300"/>
        </w:trPr>
        <w:tc>
          <w:tcPr>
            <w:tcW w:w="1711" w:type="dxa"/>
            <w:tcBorders>
              <w:top w:val="nil"/>
              <w:left w:val="single" w:sz="4" w:space="0" w:color="auto"/>
              <w:bottom w:val="single" w:sz="4" w:space="0" w:color="auto"/>
              <w:right w:val="single" w:sz="4" w:space="0" w:color="auto"/>
            </w:tcBorders>
            <w:shd w:val="clear" w:color="auto" w:fill="auto"/>
            <w:noWrap/>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 97%</w:t>
            </w:r>
          </w:p>
        </w:tc>
        <w:tc>
          <w:tcPr>
            <w:tcW w:w="1540"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MFm</w:t>
            </w:r>
          </w:p>
        </w:tc>
        <w:tc>
          <w:tcPr>
            <w:tcW w:w="1699"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ROB, NC</w:t>
            </w:r>
          </w:p>
        </w:tc>
        <w:tc>
          <w:tcPr>
            <w:tcW w:w="1631"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Code</w:t>
            </w:r>
          </w:p>
        </w:tc>
        <w:tc>
          <w:tcPr>
            <w:tcW w:w="1879" w:type="dxa"/>
            <w:tcBorders>
              <w:top w:val="nil"/>
              <w:left w:val="nil"/>
              <w:bottom w:val="single" w:sz="4" w:space="0" w:color="auto"/>
              <w:right w:val="single" w:sz="4" w:space="0" w:color="auto"/>
            </w:tcBorders>
            <w:shd w:val="clear" w:color="auto" w:fill="auto"/>
            <w:noWrap/>
            <w:vAlign w:val="bottom"/>
            <w:hideMark/>
          </w:tcPr>
          <w:p w:rsidR="00AD22C9" w:rsidRPr="00AD22C9" w:rsidRDefault="00494806" w:rsidP="00AD22C9">
            <w:pPr>
              <w:jc w:val="right"/>
              <w:rPr>
                <w:rFonts w:eastAsia="Times New Roman" w:cs="Arial"/>
                <w:color w:val="000000"/>
                <w:lang w:eastAsia="zh-TW"/>
              </w:rPr>
            </w:pPr>
            <w:r>
              <w:rPr>
                <w:rFonts w:eastAsia="Times New Roman" w:cs="Arial"/>
                <w:color w:val="000000"/>
                <w:lang w:eastAsia="zh-TW"/>
              </w:rPr>
              <w:t>$594.17</w:t>
            </w:r>
            <w:r w:rsidR="00AD22C9" w:rsidRPr="00AD22C9">
              <w:rPr>
                <w:rFonts w:eastAsia="Times New Roman" w:cs="Arial"/>
                <w:color w:val="000000"/>
                <w:lang w:eastAsia="zh-TW"/>
              </w:rPr>
              <w:t xml:space="preserve"> </w:t>
            </w:r>
          </w:p>
        </w:tc>
      </w:tr>
      <w:tr w:rsidR="00AD22C9" w:rsidRPr="00AD22C9" w:rsidTr="00AD22C9">
        <w:trPr>
          <w:trHeight w:val="300"/>
        </w:trPr>
        <w:tc>
          <w:tcPr>
            <w:tcW w:w="1711" w:type="dxa"/>
            <w:tcBorders>
              <w:top w:val="nil"/>
              <w:left w:val="single" w:sz="4" w:space="0" w:color="auto"/>
              <w:bottom w:val="single" w:sz="4" w:space="0" w:color="auto"/>
              <w:right w:val="single" w:sz="4" w:space="0" w:color="auto"/>
            </w:tcBorders>
            <w:shd w:val="clear" w:color="auto" w:fill="auto"/>
            <w:noWrap/>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 97%</w:t>
            </w:r>
          </w:p>
        </w:tc>
        <w:tc>
          <w:tcPr>
            <w:tcW w:w="1540"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DMO</w:t>
            </w:r>
          </w:p>
        </w:tc>
        <w:tc>
          <w:tcPr>
            <w:tcW w:w="1699"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ROB, NC</w:t>
            </w:r>
          </w:p>
        </w:tc>
        <w:tc>
          <w:tcPr>
            <w:tcW w:w="1631" w:type="dxa"/>
            <w:tcBorders>
              <w:top w:val="nil"/>
              <w:left w:val="nil"/>
              <w:bottom w:val="single" w:sz="4" w:space="0" w:color="auto"/>
              <w:right w:val="single" w:sz="4" w:space="0" w:color="auto"/>
            </w:tcBorders>
            <w:shd w:val="clear" w:color="auto" w:fill="auto"/>
            <w:vAlign w:val="bottom"/>
            <w:hideMark/>
          </w:tcPr>
          <w:p w:rsidR="00AD22C9" w:rsidRPr="00AD22C9" w:rsidRDefault="00AD22C9" w:rsidP="00AD22C9">
            <w:pPr>
              <w:jc w:val="center"/>
              <w:rPr>
                <w:rFonts w:eastAsia="Times New Roman" w:cs="Arial"/>
                <w:color w:val="000000"/>
                <w:lang w:eastAsia="zh-TW"/>
              </w:rPr>
            </w:pPr>
            <w:r w:rsidRPr="00AD22C9">
              <w:rPr>
                <w:rFonts w:eastAsia="Times New Roman" w:cs="Arial"/>
                <w:color w:val="000000"/>
                <w:lang w:eastAsia="zh-TW"/>
              </w:rPr>
              <w:t>Code</w:t>
            </w:r>
          </w:p>
        </w:tc>
        <w:tc>
          <w:tcPr>
            <w:tcW w:w="1879" w:type="dxa"/>
            <w:tcBorders>
              <w:top w:val="nil"/>
              <w:left w:val="nil"/>
              <w:bottom w:val="single" w:sz="4" w:space="0" w:color="auto"/>
              <w:right w:val="single" w:sz="4" w:space="0" w:color="auto"/>
            </w:tcBorders>
            <w:shd w:val="clear" w:color="auto" w:fill="auto"/>
            <w:noWrap/>
            <w:vAlign w:val="bottom"/>
            <w:hideMark/>
          </w:tcPr>
          <w:p w:rsidR="00AD22C9" w:rsidRPr="00AD22C9" w:rsidRDefault="00494806" w:rsidP="00AD22C9">
            <w:pPr>
              <w:jc w:val="right"/>
              <w:rPr>
                <w:rFonts w:eastAsia="Times New Roman" w:cs="Arial"/>
                <w:color w:val="000000"/>
                <w:lang w:eastAsia="zh-TW"/>
              </w:rPr>
            </w:pPr>
            <w:r>
              <w:rPr>
                <w:rFonts w:eastAsia="Times New Roman" w:cs="Arial"/>
                <w:color w:val="000000"/>
                <w:lang w:eastAsia="zh-TW"/>
              </w:rPr>
              <w:t>$1,018.05</w:t>
            </w:r>
            <w:r w:rsidR="00AD22C9" w:rsidRPr="00AD22C9">
              <w:rPr>
                <w:rFonts w:eastAsia="Times New Roman" w:cs="Arial"/>
                <w:color w:val="000000"/>
                <w:lang w:eastAsia="zh-TW"/>
              </w:rPr>
              <w:t xml:space="preserve"> </w:t>
            </w:r>
          </w:p>
        </w:tc>
      </w:tr>
    </w:tbl>
    <w:p w:rsidR="00B60562" w:rsidRDefault="00B60562" w:rsidP="001C644E">
      <w:pPr>
        <w:pStyle w:val="Appx"/>
      </w:pPr>
      <w:bookmarkStart w:id="58" w:name="_Toc238955954"/>
      <w:bookmarkStart w:id="59" w:name="_Toc357762668"/>
      <w:bookmarkStart w:id="60" w:name="_Toc214003102"/>
      <w:bookmarkEnd w:id="52"/>
    </w:p>
    <w:p w:rsidR="00B60562" w:rsidRDefault="00B60562">
      <w:pPr>
        <w:rPr>
          <w:rFonts w:cs="Arial"/>
          <w:b/>
          <w:bCs/>
          <w:kern w:val="32"/>
          <w:sz w:val="32"/>
          <w:szCs w:val="32"/>
        </w:rPr>
      </w:pPr>
      <w:r>
        <w:br w:type="page"/>
      </w:r>
    </w:p>
    <w:p w:rsidR="00B5439B" w:rsidRDefault="001C644E" w:rsidP="001C644E">
      <w:pPr>
        <w:pStyle w:val="Appx"/>
      </w:pPr>
      <w:r>
        <w:lastRenderedPageBreak/>
        <w:t>Attachments</w:t>
      </w:r>
      <w:bookmarkEnd w:id="58"/>
      <w:bookmarkEnd w:id="59"/>
    </w:p>
    <w:p w:rsidR="00525922" w:rsidRDefault="00525922" w:rsidP="001B734E"/>
    <w:p w:rsidR="00B4083A" w:rsidRDefault="00F14B20" w:rsidP="00B07509">
      <w:pPr>
        <w:pStyle w:val="ListParagraph"/>
        <w:numPr>
          <w:ilvl w:val="0"/>
          <w:numId w:val="7"/>
        </w:numPr>
      </w:pPr>
      <w:r>
        <w:t>Measure Summary Table and Savings Calculations</w:t>
      </w:r>
    </w:p>
    <w:p w:rsidR="00F14B20" w:rsidRDefault="005C0B3F" w:rsidP="00B07509">
      <w:pPr>
        <w:pStyle w:val="ListParagraph"/>
        <w:numPr>
          <w:ilvl w:val="1"/>
          <w:numId w:val="7"/>
        </w:numPr>
      </w:pPr>
      <w:r>
        <w:t>WPSCGREHC130115A-R</w:t>
      </w:r>
      <w:r w:rsidR="00F14B20">
        <w:t>ev04_Res_HE Furnaces_Measure Summary Table and Savings Calculations.xlsx</w:t>
      </w:r>
    </w:p>
    <w:p w:rsidR="00F14B20" w:rsidRDefault="00F14B20" w:rsidP="00B07509">
      <w:pPr>
        <w:pStyle w:val="ListParagraph"/>
        <w:numPr>
          <w:ilvl w:val="0"/>
          <w:numId w:val="7"/>
        </w:numPr>
      </w:pPr>
      <w:r>
        <w:t>Cost Data</w:t>
      </w:r>
    </w:p>
    <w:p w:rsidR="00F14B20" w:rsidRDefault="005C0B3F" w:rsidP="00B07509">
      <w:pPr>
        <w:pStyle w:val="ListParagraph"/>
        <w:numPr>
          <w:ilvl w:val="1"/>
          <w:numId w:val="7"/>
        </w:numPr>
      </w:pPr>
      <w:r>
        <w:t>WPSCGREHC130115A-R</w:t>
      </w:r>
      <w:r w:rsidR="00F14B20">
        <w:t>ev04_Res_HE Furnaces_Cost Data.xlsx</w:t>
      </w:r>
    </w:p>
    <w:p w:rsidR="00F14B20" w:rsidRDefault="00F14B20" w:rsidP="00B07509">
      <w:pPr>
        <w:pStyle w:val="ListParagraph"/>
        <w:numPr>
          <w:ilvl w:val="0"/>
          <w:numId w:val="7"/>
        </w:numPr>
      </w:pPr>
      <w:r>
        <w:t>Furnace Market and Distribution</w:t>
      </w:r>
    </w:p>
    <w:p w:rsidR="00F14B20" w:rsidRDefault="005C0B3F" w:rsidP="00B07509">
      <w:pPr>
        <w:pStyle w:val="ListParagraph"/>
        <w:numPr>
          <w:ilvl w:val="1"/>
          <w:numId w:val="7"/>
        </w:numPr>
      </w:pPr>
      <w:r>
        <w:t>WPSCGREHC130115A-R</w:t>
      </w:r>
      <w:r w:rsidR="00F14B20">
        <w:t>ev04_Res_HE Furnaces_Furnace Market and Distribution.xlsx</w:t>
      </w:r>
    </w:p>
    <w:p w:rsidR="001A5765" w:rsidRDefault="001A5765" w:rsidP="001B734E"/>
    <w:p w:rsidR="002C1B74" w:rsidRDefault="002C1B74" w:rsidP="002C1B74">
      <w:pPr>
        <w:pStyle w:val="WPSCT"/>
        <w:numPr>
          <w:ilvl w:val="0"/>
          <w:numId w:val="0"/>
        </w:numPr>
        <w:rPr>
          <w:rFonts w:cs="Arial"/>
          <w:bCs/>
          <w:caps w:val="0"/>
          <w:kern w:val="32"/>
          <w:sz w:val="32"/>
          <w:szCs w:val="32"/>
        </w:rPr>
      </w:pPr>
      <w:bookmarkStart w:id="61" w:name="_Toc238955955"/>
      <w:bookmarkStart w:id="62" w:name="_Toc357762669"/>
    </w:p>
    <w:p w:rsidR="001C644E" w:rsidRPr="00AD2624" w:rsidRDefault="001C644E" w:rsidP="002C1B74">
      <w:pPr>
        <w:pStyle w:val="WPSCT"/>
        <w:numPr>
          <w:ilvl w:val="0"/>
          <w:numId w:val="0"/>
        </w:numPr>
        <w:rPr>
          <w:rFonts w:cs="Arial"/>
          <w:bCs/>
          <w:caps w:val="0"/>
          <w:kern w:val="32"/>
          <w:sz w:val="32"/>
          <w:szCs w:val="32"/>
        </w:rPr>
      </w:pPr>
      <w:r w:rsidRPr="00AD2624">
        <w:rPr>
          <w:rFonts w:cs="Arial"/>
          <w:bCs/>
          <w:caps w:val="0"/>
          <w:kern w:val="32"/>
          <w:sz w:val="32"/>
          <w:szCs w:val="32"/>
        </w:rPr>
        <w:t>References</w:t>
      </w:r>
      <w:bookmarkEnd w:id="60"/>
      <w:bookmarkEnd w:id="61"/>
      <w:bookmarkEnd w:id="62"/>
    </w:p>
    <w:p w:rsidR="001C644E" w:rsidRDefault="001C644E" w:rsidP="001C644E"/>
    <w:p w:rsidR="001C41FE" w:rsidRDefault="00C43573" w:rsidP="001C41FE">
      <w:pPr>
        <w:pStyle w:val="PR2"/>
      </w:pPr>
      <w:r>
        <w:t xml:space="preserve">Energy Division’s measure reporting and evaluation process, “SPTdata_format-v0.97.xls” spreadsheet, November 2011.  </w:t>
      </w:r>
      <w:hyperlink r:id="rId17" w:history="1">
        <w:r w:rsidRPr="008D388C">
          <w:rPr>
            <w:rStyle w:val="Hyperlink"/>
          </w:rPr>
          <w:t>http://www.deeresources.com</w:t>
        </w:r>
      </w:hyperlink>
    </w:p>
    <w:p w:rsidR="006C3F15" w:rsidRDefault="006C3F15" w:rsidP="006C3F15">
      <w:pPr>
        <w:pStyle w:val="PR2"/>
      </w:pPr>
      <w:r>
        <w:t>American Council for Energy-Efficient Economy, “</w:t>
      </w:r>
      <w:r w:rsidRPr="006C3F15">
        <w:t>U.S. DOE Heats Up New Energy Standards for Home Furnaces</w:t>
      </w:r>
      <w:r>
        <w:t xml:space="preserve">,” April 23, 2009, </w:t>
      </w:r>
      <w:hyperlink r:id="rId18" w:history="1">
        <w:r>
          <w:rPr>
            <w:rStyle w:val="Hyperlink"/>
          </w:rPr>
          <w:t>http://www.aceee.org/press/2009/04/us-doe-heats-new-energy-standards-home-furnaces</w:t>
        </w:r>
      </w:hyperlink>
    </w:p>
    <w:p w:rsidR="00C43573" w:rsidRDefault="00C43573" w:rsidP="001C41FE">
      <w:pPr>
        <w:pStyle w:val="PR2"/>
      </w:pPr>
      <w:r>
        <w:t xml:space="preserve">Database for Energy </w:t>
      </w:r>
      <w:r w:rsidR="0006072D">
        <w:t>Efficiency Resources (DEER) 2017</w:t>
      </w:r>
      <w:r>
        <w:t xml:space="preserve">, “READI (version </w:t>
      </w:r>
      <w:r w:rsidR="00BD7869">
        <w:t>1.0.3), November 2013</w:t>
      </w:r>
      <w:r>
        <w:t xml:space="preserve">.  </w:t>
      </w:r>
      <w:hyperlink r:id="rId19" w:history="1">
        <w:r w:rsidRPr="008D388C">
          <w:rPr>
            <w:rStyle w:val="Hyperlink"/>
          </w:rPr>
          <w:t>http://www.deeresources.com</w:t>
        </w:r>
      </w:hyperlink>
    </w:p>
    <w:p w:rsidR="00C43573" w:rsidRDefault="00C43573" w:rsidP="001C41FE">
      <w:pPr>
        <w:pStyle w:val="PR2"/>
      </w:pPr>
      <w:r>
        <w:t xml:space="preserve">Database for Energy Efficiency Resources (DEER) 2008 version 2.05, “Miser (version 2.05), November 2008. </w:t>
      </w:r>
      <w:hyperlink r:id="rId20" w:history="1">
        <w:r w:rsidRPr="008D388C">
          <w:rPr>
            <w:rStyle w:val="Hyperlink"/>
          </w:rPr>
          <w:t>http://www.deeresources.com</w:t>
        </w:r>
      </w:hyperlink>
    </w:p>
    <w:p w:rsidR="00C43573" w:rsidRDefault="00C43573" w:rsidP="001C41FE">
      <w:pPr>
        <w:pStyle w:val="PR2"/>
      </w:pPr>
      <w:r>
        <w:t xml:space="preserve">Department of Energy, “Energy Conservation Program: Energy Conservation Standards for Residential Furnaces and Residential Central Air Conditioners and Heat Pumps”, 10 CFR Part 430, Docket Number EERE-2011-BT-STD-0011, June 27, 2011.  </w:t>
      </w:r>
      <w:hyperlink r:id="rId21" w:history="1">
        <w:r w:rsidRPr="008D388C">
          <w:rPr>
            <w:rStyle w:val="Hyperlink"/>
          </w:rPr>
          <w:t>http://www1.eere.energy.gov/buildings/appliance_standards/pdfs/cacfurn_dfr.pdf</w:t>
        </w:r>
      </w:hyperlink>
    </w:p>
    <w:p w:rsidR="007336C0" w:rsidRDefault="007336C0" w:rsidP="007336C0">
      <w:pPr>
        <w:pStyle w:val="PR2"/>
      </w:pPr>
      <w:r>
        <w:t xml:space="preserve">Department of Energy, “Furnace Standards Enforcement Policy Statement,” April 5, 2013, </w:t>
      </w:r>
      <w:hyperlink r:id="rId22" w:history="1">
        <w:r>
          <w:rPr>
            <w:rStyle w:val="Hyperlink"/>
          </w:rPr>
          <w:t>http://energy.gov/gc/downloads/furnace-standards-enforcement-policy-statement</w:t>
        </w:r>
      </w:hyperlink>
    </w:p>
    <w:p w:rsidR="00C43573" w:rsidRDefault="00C43573" w:rsidP="001C41FE">
      <w:pPr>
        <w:pStyle w:val="PR2"/>
      </w:pPr>
      <w:r>
        <w:t xml:space="preserve">Itron, Inc. “DEER EUL/RUL (Effective/Remaining Useful Life) Values, Updated 10 October 2008. </w:t>
      </w:r>
      <w:hyperlink r:id="rId23" w:history="1">
        <w:r w:rsidRPr="008D388C">
          <w:rPr>
            <w:rStyle w:val="Hyperlink"/>
          </w:rPr>
          <w:t>http://www.deeresources.com</w:t>
        </w:r>
      </w:hyperlink>
    </w:p>
    <w:p w:rsidR="00C43573" w:rsidRDefault="00C43573" w:rsidP="00C43573">
      <w:pPr>
        <w:pStyle w:val="PR2"/>
      </w:pPr>
      <w:r>
        <w:t xml:space="preserve">DEER 2011 Update Net-To-Gross Table, “DEER2011_NTGR_2012-05-16.xls”, May 23, 2012. </w:t>
      </w:r>
      <w:hyperlink r:id="rId24" w:history="1">
        <w:r w:rsidRPr="008D388C">
          <w:rPr>
            <w:rStyle w:val="Hyperlink"/>
          </w:rPr>
          <w:t>http://www.deeresources.com</w:t>
        </w:r>
      </w:hyperlink>
    </w:p>
    <w:p w:rsidR="0007320D" w:rsidRDefault="0007320D" w:rsidP="0007320D">
      <w:pPr>
        <w:pStyle w:val="PR2"/>
        <w:numPr>
          <w:ilvl w:val="0"/>
          <w:numId w:val="0"/>
        </w:numPr>
        <w:ind w:left="1584"/>
      </w:pPr>
    </w:p>
    <w:p w:rsidR="00BD3FEE" w:rsidRDefault="00BD3FEE" w:rsidP="00BD3FEE">
      <w:pPr>
        <w:pStyle w:val="PR2"/>
        <w:numPr>
          <w:ilvl w:val="0"/>
          <w:numId w:val="0"/>
        </w:numPr>
        <w:ind w:left="1152"/>
      </w:pPr>
    </w:p>
    <w:p w:rsidR="001C644E" w:rsidRDefault="001C644E" w:rsidP="001C644E">
      <w:pPr>
        <w:pStyle w:val="Normal1"/>
        <w:jc w:val="center"/>
      </w:pPr>
    </w:p>
    <w:p w:rsidR="001C644E" w:rsidRPr="00BD703F" w:rsidRDefault="001C644E" w:rsidP="001C644E">
      <w:pPr>
        <w:jc w:val="center"/>
      </w:pPr>
    </w:p>
    <w:p w:rsidR="002E6914" w:rsidRDefault="002E6914" w:rsidP="00A826F3">
      <w:pPr>
        <w:pStyle w:val="EOS"/>
      </w:pPr>
      <w:r>
        <w:br w:type="page"/>
      </w:r>
      <w:r w:rsidRPr="00A826F3">
        <w:lastRenderedPageBreak/>
        <w:t>THIS PAGE INTENTIONALLY LEFT BLANK</w:t>
      </w:r>
    </w:p>
    <w:p w:rsidR="00A826F3" w:rsidRDefault="00A826F3"/>
    <w:sectPr w:rsidR="00A826F3" w:rsidSect="00A826F3">
      <w:headerReference w:type="even" r:id="rId25"/>
      <w:headerReference w:type="default" r:id="rId26"/>
      <w:footerReference w:type="even" r:id="rId27"/>
      <w:footerReference w:type="default" r:id="rId28"/>
      <w:footnotePr>
        <w:numRestart w:val="eachSect"/>
      </w:footnotePr>
      <w:endnotePr>
        <w:numFmt w:val="decimal"/>
      </w:endnotePr>
      <w:pgSz w:w="12240" w:h="15840" w:code="1"/>
      <w:pgMar w:top="1627" w:right="1440" w:bottom="1627" w:left="1440" w:header="720" w:footer="47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AC6" w:rsidRDefault="002D1AC6">
      <w:r>
        <w:separator/>
      </w:r>
    </w:p>
  </w:endnote>
  <w:endnote w:type="continuationSeparator" w:id="0">
    <w:p w:rsidR="002D1AC6" w:rsidRDefault="002D1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DIN">
    <w:altName w:val="DI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FBB" w:rsidRPr="00E47372" w:rsidRDefault="00D45FBB" w:rsidP="003F2BB3">
    <w:pPr>
      <w:pStyle w:val="Footer"/>
      <w:pBdr>
        <w:top w:val="single" w:sz="4" w:space="1" w:color="auto"/>
      </w:pBdr>
      <w:tabs>
        <w:tab w:val="clear" w:pos="4320"/>
        <w:tab w:val="clear" w:pos="8640"/>
        <w:tab w:val="center" w:pos="4680"/>
        <w:tab w:val="right" w:pos="9360"/>
        <w:tab w:val="center" w:pos="10800"/>
        <w:tab w:val="right" w:pos="21600"/>
      </w:tabs>
      <w:rPr>
        <w:b/>
      </w:rPr>
    </w:pPr>
    <w:r w:rsidRPr="00E47372">
      <w:rPr>
        <w:b/>
      </w:rPr>
      <w:t xml:space="preserve">Work Paper </w:t>
    </w:r>
    <w:r w:rsidRPr="00873DAD">
      <w:rPr>
        <w:b/>
      </w:rPr>
      <w:t>SCGWPYYMMDDA</w:t>
    </w:r>
    <w:r>
      <w:rPr>
        <w:b/>
      </w:rPr>
      <w:t xml:space="preserve">, Revision </w:t>
    </w:r>
    <w:r w:rsidRPr="00873DAD">
      <w:rPr>
        <w:b/>
      </w:rPr>
      <w:t>x</w:t>
    </w:r>
    <w:r>
      <w:rPr>
        <w:b/>
      </w:rP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r>
      <w:rPr>
        <w:rStyle w:val="PageNumber"/>
      </w:rPr>
      <w:tab/>
    </w:r>
    <w:r w:rsidRPr="00873DAD">
      <w:rPr>
        <w:b/>
      </w:rPr>
      <w:t>Mon D, YYYY</w:t>
    </w:r>
  </w:p>
  <w:p w:rsidR="00D45FBB" w:rsidRDefault="00D45FBB" w:rsidP="003F2BB3">
    <w:pPr>
      <w:pStyle w:val="Footer"/>
      <w:rPr>
        <w:b/>
      </w:rPr>
    </w:pPr>
    <w:r>
      <w:rPr>
        <w:b/>
      </w:rPr>
      <w:t>Southern California Gas Company</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FBB" w:rsidRPr="00E47372" w:rsidRDefault="00D45FBB" w:rsidP="00B50897">
    <w:pPr>
      <w:pStyle w:val="Footer"/>
      <w:pBdr>
        <w:top w:val="single" w:sz="4" w:space="1" w:color="auto"/>
      </w:pBdr>
      <w:tabs>
        <w:tab w:val="clear" w:pos="4320"/>
        <w:tab w:val="clear" w:pos="8640"/>
        <w:tab w:val="center" w:pos="4770"/>
        <w:tab w:val="right" w:pos="9360"/>
      </w:tabs>
      <w:rPr>
        <w:b/>
      </w:rPr>
    </w:pPr>
    <w:r>
      <w:rPr>
        <w:b/>
      </w:rPr>
      <w:t>Workp</w:t>
    </w:r>
    <w:r w:rsidRPr="00E47372">
      <w:rPr>
        <w:b/>
      </w:rPr>
      <w:t xml:space="preserve">aper </w:t>
    </w:r>
    <w:r w:rsidRPr="00C96F1A">
      <w:rPr>
        <w:b/>
      </w:rPr>
      <w:t>WPSCG</w:t>
    </w:r>
    <w:r>
      <w:rPr>
        <w:b/>
      </w:rPr>
      <w:t>REHC130115</w:t>
    </w:r>
    <w:r w:rsidRPr="00C96F1A">
      <w:rPr>
        <w:b/>
      </w:rPr>
      <w:t>A</w:t>
    </w:r>
    <w:r w:rsidR="00725F4A">
      <w:rPr>
        <w:b/>
      </w:rPr>
      <w:t>, Revision 04</w:t>
    </w:r>
    <w:r>
      <w:rPr>
        <w:b/>
      </w:rPr>
      <w:tab/>
    </w:r>
    <w:r>
      <w:rPr>
        <w:rStyle w:val="PageNumber"/>
      </w:rPr>
      <w:fldChar w:fldCharType="begin"/>
    </w:r>
    <w:r>
      <w:rPr>
        <w:rStyle w:val="PageNumber"/>
      </w:rPr>
      <w:instrText xml:space="preserve"> PAGE </w:instrText>
    </w:r>
    <w:r>
      <w:rPr>
        <w:rStyle w:val="PageNumber"/>
      </w:rPr>
      <w:fldChar w:fldCharType="separate"/>
    </w:r>
    <w:r w:rsidR="00B60562">
      <w:rPr>
        <w:rStyle w:val="PageNumber"/>
        <w:noProof/>
      </w:rPr>
      <w:t>7</w:t>
    </w:r>
    <w:r>
      <w:rPr>
        <w:rStyle w:val="PageNumber"/>
      </w:rPr>
      <w:fldChar w:fldCharType="end"/>
    </w:r>
    <w:r>
      <w:rPr>
        <w:b/>
      </w:rPr>
      <w:tab/>
    </w:r>
    <w:r w:rsidR="00725F4A">
      <w:rPr>
        <w:b/>
      </w:rPr>
      <w:t>January 1st, 2017</w:t>
    </w:r>
  </w:p>
  <w:p w:rsidR="00D45FBB" w:rsidRDefault="00D45FBB" w:rsidP="003F2BB3">
    <w:pPr>
      <w:pStyle w:val="Footer"/>
      <w:rPr>
        <w:b/>
      </w:rPr>
    </w:pPr>
    <w:r>
      <w:rPr>
        <w:b/>
      </w:rPr>
      <w:t>Southern California Gas Company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FBB" w:rsidRDefault="00D45FBB" w:rsidP="003F2BB3">
    <w:pPr>
      <w:pStyle w:val="Footer"/>
      <w:tabs>
        <w:tab w:val="clear" w:pos="864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FBB" w:rsidRPr="00A74DB1" w:rsidRDefault="00D45FBB" w:rsidP="00B50897">
    <w:pPr>
      <w:pStyle w:val="Footer"/>
      <w:tabs>
        <w:tab w:val="clear" w:pos="8640"/>
        <w:tab w:val="right" w:pos="9360"/>
      </w:tabs>
      <w:jc w:val="right"/>
      <w:rPr>
        <w:rFonts w:cs="Arial"/>
        <w:b/>
        <w:sz w:val="28"/>
        <w:szCs w:val="28"/>
      </w:rPr>
    </w:pPr>
    <w:r>
      <w:rPr>
        <w:rFonts w:cs="Arial"/>
        <w:b/>
        <w:sz w:val="28"/>
        <w:szCs w:val="28"/>
      </w:rPr>
      <w:t>January 1st, 2017</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FBB" w:rsidRDefault="00D45FBB" w:rsidP="003F2BB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60562">
      <w:rPr>
        <w:rStyle w:val="PageNumber"/>
        <w:noProof/>
      </w:rPr>
      <w:t>i</w:t>
    </w:r>
    <w:r>
      <w:rPr>
        <w:rStyle w:val="PageNumber"/>
      </w:rPr>
      <w:fldChar w:fldCharType="end"/>
    </w:r>
  </w:p>
  <w:p w:rsidR="00D45FBB" w:rsidRPr="00E47372" w:rsidRDefault="00D45FBB" w:rsidP="00B50897">
    <w:pPr>
      <w:pStyle w:val="Footer"/>
      <w:pBdr>
        <w:top w:val="single" w:sz="4" w:space="1" w:color="auto"/>
      </w:pBdr>
      <w:tabs>
        <w:tab w:val="clear" w:pos="4320"/>
        <w:tab w:val="clear" w:pos="8640"/>
        <w:tab w:val="center" w:pos="4680"/>
        <w:tab w:val="right" w:pos="9360"/>
      </w:tabs>
      <w:rPr>
        <w:b/>
      </w:rPr>
    </w:pPr>
    <w:r>
      <w:rPr>
        <w:b/>
      </w:rPr>
      <w:t>Workp</w:t>
    </w:r>
    <w:r w:rsidRPr="00E47372">
      <w:rPr>
        <w:b/>
      </w:rPr>
      <w:t xml:space="preserve">aper </w:t>
    </w:r>
    <w:r w:rsidRPr="00C96F1A">
      <w:rPr>
        <w:b/>
      </w:rPr>
      <w:t>WPSCG</w:t>
    </w:r>
    <w:r>
      <w:rPr>
        <w:b/>
      </w:rPr>
      <w:t>REHC130115A, Revision 04</w:t>
    </w:r>
    <w:r>
      <w:rPr>
        <w:b/>
      </w:rPr>
      <w:tab/>
    </w:r>
    <w:r>
      <w:rPr>
        <w:b/>
      </w:rPr>
      <w:tab/>
      <w:t>January 1st, 2017</w:t>
    </w:r>
  </w:p>
  <w:p w:rsidR="00D45FBB" w:rsidRDefault="00D45FBB" w:rsidP="003F2BB3">
    <w:pPr>
      <w:pStyle w:val="Footer"/>
      <w:rPr>
        <w:b/>
      </w:rPr>
    </w:pPr>
    <w:r>
      <w:rPr>
        <w:b/>
      </w:rPr>
      <w:t>Southern California Gas Company</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FBB" w:rsidRPr="00E47372" w:rsidRDefault="00D45FBB" w:rsidP="00B50897">
    <w:pPr>
      <w:pStyle w:val="Footer"/>
      <w:pBdr>
        <w:top w:val="single" w:sz="4" w:space="1" w:color="auto"/>
      </w:pBdr>
      <w:tabs>
        <w:tab w:val="clear" w:pos="4320"/>
        <w:tab w:val="clear" w:pos="8640"/>
        <w:tab w:val="center" w:pos="6480"/>
        <w:tab w:val="right" w:pos="12960"/>
        <w:tab w:val="right" w:pos="21600"/>
      </w:tabs>
      <w:rPr>
        <w:b/>
      </w:rPr>
    </w:pPr>
    <w:r w:rsidRPr="00E47372">
      <w:rPr>
        <w:b/>
      </w:rPr>
      <w:t xml:space="preserve">Work Paper </w:t>
    </w:r>
    <w:r w:rsidRPr="00873DAD">
      <w:rPr>
        <w:b/>
      </w:rPr>
      <w:t>SCGWPYYMMDDA</w:t>
    </w:r>
    <w:r>
      <w:rPr>
        <w:b/>
      </w:rPr>
      <w:t xml:space="preserve">, Revision </w:t>
    </w:r>
    <w:r w:rsidRPr="00873DAD">
      <w:rPr>
        <w:b/>
      </w:rPr>
      <w:t>x</w:t>
    </w:r>
    <w:r>
      <w:rPr>
        <w:b/>
      </w:rP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r>
      <w:rPr>
        <w:rStyle w:val="PageNumber"/>
      </w:rPr>
      <w:tab/>
    </w:r>
    <w:r w:rsidRPr="00873DAD">
      <w:rPr>
        <w:b/>
      </w:rPr>
      <w:t>Mon D, YYYY</w:t>
    </w:r>
  </w:p>
  <w:p w:rsidR="00D45FBB" w:rsidRDefault="00D45FBB" w:rsidP="003F2BB3">
    <w:pPr>
      <w:pStyle w:val="Footer"/>
      <w:rPr>
        <w:b/>
      </w:rPr>
    </w:pPr>
    <w:r>
      <w:rPr>
        <w:b/>
      </w:rPr>
      <w:t>Southern California Gas Company</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FBB" w:rsidRDefault="00D45FBB" w:rsidP="003F2BB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60562">
      <w:rPr>
        <w:rStyle w:val="PageNumber"/>
        <w:noProof/>
      </w:rPr>
      <w:t>ii</w:t>
    </w:r>
    <w:r>
      <w:rPr>
        <w:rStyle w:val="PageNumber"/>
      </w:rPr>
      <w:fldChar w:fldCharType="end"/>
    </w:r>
  </w:p>
  <w:p w:rsidR="00D45FBB" w:rsidRPr="00E47372" w:rsidRDefault="00D45FBB" w:rsidP="00B50897">
    <w:pPr>
      <w:pStyle w:val="Footer"/>
      <w:pBdr>
        <w:top w:val="single" w:sz="4" w:space="1" w:color="auto"/>
      </w:pBdr>
      <w:tabs>
        <w:tab w:val="clear" w:pos="4320"/>
        <w:tab w:val="clear" w:pos="8640"/>
        <w:tab w:val="center" w:pos="6480"/>
        <w:tab w:val="right" w:pos="12960"/>
      </w:tabs>
      <w:rPr>
        <w:b/>
      </w:rPr>
    </w:pPr>
    <w:r>
      <w:rPr>
        <w:b/>
      </w:rPr>
      <w:t>Workp</w:t>
    </w:r>
    <w:r w:rsidRPr="00E47372">
      <w:rPr>
        <w:b/>
      </w:rPr>
      <w:t xml:space="preserve">aper </w:t>
    </w:r>
    <w:r>
      <w:rPr>
        <w:b/>
      </w:rPr>
      <w:t>WPSCGREHC130115</w:t>
    </w:r>
    <w:r w:rsidRPr="00C96F1A">
      <w:rPr>
        <w:b/>
      </w:rPr>
      <w:t>A</w:t>
    </w:r>
    <w:r w:rsidR="00725F4A">
      <w:rPr>
        <w:b/>
      </w:rPr>
      <w:t>, Revision 04</w:t>
    </w:r>
    <w:r>
      <w:rPr>
        <w:b/>
      </w:rPr>
      <w:tab/>
    </w:r>
    <w:r>
      <w:rPr>
        <w:b/>
      </w:rPr>
      <w:tab/>
    </w:r>
    <w:r w:rsidR="00725F4A">
      <w:rPr>
        <w:b/>
      </w:rPr>
      <w:t>January 1st, 2017</w:t>
    </w:r>
  </w:p>
  <w:p w:rsidR="00D45FBB" w:rsidRDefault="00D45FBB" w:rsidP="003F2BB3">
    <w:pPr>
      <w:pStyle w:val="Footer"/>
      <w:rPr>
        <w:b/>
      </w:rPr>
    </w:pPr>
    <w:r>
      <w:rPr>
        <w:b/>
      </w:rPr>
      <w:t>Southern California Gas Company</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FBB" w:rsidRPr="00E47372" w:rsidRDefault="00D45FBB" w:rsidP="00B50897">
    <w:pPr>
      <w:pStyle w:val="Footer"/>
      <w:pBdr>
        <w:top w:val="single" w:sz="4" w:space="1" w:color="auto"/>
      </w:pBdr>
      <w:tabs>
        <w:tab w:val="clear" w:pos="4320"/>
        <w:tab w:val="clear" w:pos="8640"/>
        <w:tab w:val="center" w:pos="4680"/>
        <w:tab w:val="right" w:pos="9360"/>
      </w:tabs>
      <w:rPr>
        <w:b/>
      </w:rPr>
    </w:pPr>
    <w:r w:rsidRPr="00E47372">
      <w:rPr>
        <w:b/>
      </w:rPr>
      <w:t xml:space="preserve">Work Paper </w:t>
    </w:r>
    <w:r w:rsidRPr="00873DAD">
      <w:rPr>
        <w:b/>
      </w:rPr>
      <w:t>SCGWPYYMMDDA</w:t>
    </w:r>
    <w:r>
      <w:rPr>
        <w:b/>
      </w:rPr>
      <w:t xml:space="preserve">, Revision </w:t>
    </w:r>
    <w:r w:rsidRPr="00873DAD">
      <w:rPr>
        <w:b/>
      </w:rPr>
      <w:t>x</w:t>
    </w:r>
    <w:r>
      <w:rPr>
        <w:b/>
      </w:rPr>
      <w:tab/>
    </w:r>
    <w:r>
      <w:rPr>
        <w:rStyle w:val="PageNumber"/>
      </w:rPr>
      <w:fldChar w:fldCharType="begin"/>
    </w:r>
    <w:r>
      <w:rPr>
        <w:rStyle w:val="PageNumber"/>
      </w:rPr>
      <w:instrText xml:space="preserve"> PAGE </w:instrText>
    </w:r>
    <w:r>
      <w:rPr>
        <w:rStyle w:val="PageNumber"/>
      </w:rPr>
      <w:fldChar w:fldCharType="separate"/>
    </w:r>
    <w:r>
      <w:rPr>
        <w:rStyle w:val="PageNumber"/>
        <w:noProof/>
      </w:rPr>
      <w:t>iv</w:t>
    </w:r>
    <w:r>
      <w:rPr>
        <w:rStyle w:val="PageNumber"/>
      </w:rPr>
      <w:fldChar w:fldCharType="end"/>
    </w:r>
    <w:r>
      <w:rPr>
        <w:rStyle w:val="PageNumber"/>
      </w:rPr>
      <w:tab/>
    </w:r>
    <w:r w:rsidRPr="00873DAD">
      <w:rPr>
        <w:b/>
      </w:rPr>
      <w:t>Mon D, YYYY</w:t>
    </w:r>
  </w:p>
  <w:p w:rsidR="00D45FBB" w:rsidRDefault="00D45FBB" w:rsidP="003F2BB3">
    <w:pPr>
      <w:pStyle w:val="Footer"/>
      <w:rPr>
        <w:b/>
      </w:rPr>
    </w:pPr>
    <w:r>
      <w:rPr>
        <w:b/>
      </w:rPr>
      <w:t>Southern California Gas Company</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FBB" w:rsidRDefault="00D45FBB" w:rsidP="003F2BB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60562">
      <w:rPr>
        <w:rStyle w:val="PageNumber"/>
        <w:noProof/>
      </w:rPr>
      <w:t>iv</w:t>
    </w:r>
    <w:r>
      <w:rPr>
        <w:rStyle w:val="PageNumber"/>
      </w:rPr>
      <w:fldChar w:fldCharType="end"/>
    </w:r>
  </w:p>
  <w:p w:rsidR="00D45FBB" w:rsidRPr="00E47372" w:rsidRDefault="00D45FBB" w:rsidP="00B50897">
    <w:pPr>
      <w:pStyle w:val="Footer"/>
      <w:pBdr>
        <w:top w:val="single" w:sz="4" w:space="1" w:color="auto"/>
      </w:pBdr>
      <w:tabs>
        <w:tab w:val="clear" w:pos="4320"/>
        <w:tab w:val="clear" w:pos="8640"/>
        <w:tab w:val="center" w:pos="4680"/>
        <w:tab w:val="right" w:pos="9360"/>
      </w:tabs>
      <w:rPr>
        <w:b/>
      </w:rPr>
    </w:pPr>
    <w:r>
      <w:rPr>
        <w:b/>
      </w:rPr>
      <w:t>Workp</w:t>
    </w:r>
    <w:r w:rsidRPr="00E47372">
      <w:rPr>
        <w:b/>
      </w:rPr>
      <w:t xml:space="preserve">aper </w:t>
    </w:r>
    <w:r w:rsidRPr="00C96F1A">
      <w:rPr>
        <w:b/>
      </w:rPr>
      <w:t>WPSCG</w:t>
    </w:r>
    <w:r>
      <w:rPr>
        <w:b/>
      </w:rPr>
      <w:t>REHC130115</w:t>
    </w:r>
    <w:r w:rsidRPr="00C96F1A">
      <w:rPr>
        <w:b/>
      </w:rPr>
      <w:t>A</w:t>
    </w:r>
    <w:r>
      <w:rPr>
        <w:b/>
      </w:rPr>
      <w:t xml:space="preserve">, Revision </w:t>
    </w:r>
    <w:r w:rsidR="00725F4A">
      <w:rPr>
        <w:b/>
      </w:rPr>
      <w:t>04</w:t>
    </w:r>
    <w:r>
      <w:rPr>
        <w:b/>
      </w:rPr>
      <w:tab/>
    </w:r>
    <w:r>
      <w:rPr>
        <w:b/>
      </w:rPr>
      <w:tab/>
    </w:r>
    <w:r w:rsidR="00725F4A">
      <w:rPr>
        <w:b/>
      </w:rPr>
      <w:t>January 1st, 2017</w:t>
    </w:r>
  </w:p>
  <w:p w:rsidR="00D45FBB" w:rsidRDefault="00D45FBB" w:rsidP="003F2BB3">
    <w:pPr>
      <w:pStyle w:val="Footer"/>
      <w:rPr>
        <w:b/>
      </w:rPr>
    </w:pPr>
    <w:r>
      <w:rPr>
        <w:b/>
      </w:rPr>
      <w:t>Southern California Gas Company</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FBB" w:rsidRPr="00E47372" w:rsidRDefault="00D45FBB" w:rsidP="003F2BB3">
    <w:pPr>
      <w:pStyle w:val="Footer"/>
      <w:pBdr>
        <w:top w:val="single" w:sz="4" w:space="1" w:color="auto"/>
      </w:pBdr>
      <w:tabs>
        <w:tab w:val="clear" w:pos="8640"/>
        <w:tab w:val="right" w:pos="9360"/>
      </w:tabs>
      <w:rPr>
        <w:b/>
      </w:rPr>
    </w:pPr>
    <w:r w:rsidRPr="00E47372">
      <w:rPr>
        <w:b/>
      </w:rPr>
      <w:t xml:space="preserve">Work Paper </w:t>
    </w:r>
    <w:r w:rsidRPr="00873DAD">
      <w:rPr>
        <w:b/>
      </w:rPr>
      <w:t>SCGWPYYMMDDA</w:t>
    </w:r>
    <w:r>
      <w:rPr>
        <w:b/>
      </w:rPr>
      <w:t xml:space="preserve">, Revision </w:t>
    </w:r>
    <w:r w:rsidRPr="00873DAD">
      <w:rPr>
        <w:b/>
      </w:rPr>
      <w:t>x</w:t>
    </w:r>
    <w:r>
      <w:rPr>
        <w:b/>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b/>
      </w:rPr>
      <w:tab/>
    </w:r>
    <w:r w:rsidRPr="00873DAD">
      <w:rPr>
        <w:b/>
      </w:rPr>
      <w:t>Mon D, YYYY</w:t>
    </w:r>
  </w:p>
  <w:p w:rsidR="00D45FBB" w:rsidRDefault="00D45FBB" w:rsidP="003F2BB3">
    <w:pPr>
      <w:pStyle w:val="Footer"/>
      <w:rPr>
        <w:b/>
      </w:rPr>
    </w:pPr>
    <w:r>
      <w:rPr>
        <w:b/>
      </w:rPr>
      <w:t>Southern California Gas Company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AC6" w:rsidRDefault="002D1AC6">
      <w:r>
        <w:separator/>
      </w:r>
    </w:p>
  </w:footnote>
  <w:footnote w:type="continuationSeparator" w:id="0">
    <w:p w:rsidR="002D1AC6" w:rsidRDefault="002D1A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FBB" w:rsidRDefault="00D45FBB">
    <w:pPr>
      <w:pStyle w:val="Header"/>
      <w:pBdr>
        <w:bottom w:val="single" w:sz="4" w:space="1" w:color="auto"/>
      </w:pBdr>
      <w:tabs>
        <w:tab w:val="clear" w:pos="8640"/>
        <w:tab w:val="right" w:pos="9360"/>
      </w:tabs>
    </w:pPr>
    <w:r>
      <w:rPr>
        <w:rFonts w:cs="Arial"/>
        <w:noProof/>
      </w:rPr>
      <w:drawing>
        <wp:inline distT="0" distB="0" distL="0" distR="0">
          <wp:extent cx="1647825" cy="476250"/>
          <wp:effectExtent l="19050" t="0" r="9525" b="0"/>
          <wp:docPr id="3" name="Picture 3" descr="gc_h2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c_h2p"/>
                  <pic:cNvPicPr>
                    <a:picLocks noChangeAspect="1" noChangeArrowheads="1"/>
                  </pic:cNvPicPr>
                </pic:nvPicPr>
                <pic:blipFill>
                  <a:blip r:embed="rId1"/>
                  <a:srcRect/>
                  <a:stretch>
                    <a:fillRect/>
                  </a:stretch>
                </pic:blipFill>
                <pic:spPr bwMode="auto">
                  <a:xfrm>
                    <a:off x="0" y="0"/>
                    <a:ext cx="1647825" cy="476250"/>
                  </a:xfrm>
                  <a:prstGeom prst="rect">
                    <a:avLst/>
                  </a:prstGeom>
                  <a:noFill/>
                  <a:ln w="9525">
                    <a:noFill/>
                    <a:miter lim="800000"/>
                    <a:headEnd/>
                    <a:tailEnd/>
                  </a:ln>
                </pic:spPr>
              </pic:pic>
            </a:graphicData>
          </a:graphic>
        </wp:inline>
      </w:drawing>
    </w:r>
  </w:p>
  <w:p w:rsidR="00D45FBB" w:rsidRDefault="00D45FB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FBB" w:rsidRDefault="00D45FBB">
    <w:pPr>
      <w:pStyle w:val="Header"/>
      <w:pBdr>
        <w:bottom w:val="single" w:sz="4" w:space="1" w:color="auto"/>
      </w:pBdr>
      <w:tabs>
        <w:tab w:val="clear" w:pos="8640"/>
        <w:tab w:val="right" w:pos="9360"/>
      </w:tabs>
    </w:pPr>
    <w:r>
      <w:rPr>
        <w:rFonts w:cs="Arial"/>
      </w:rPr>
      <w:tab/>
    </w:r>
    <w:r>
      <w:rPr>
        <w:rFonts w:cs="Arial"/>
      </w:rPr>
      <w:tab/>
    </w:r>
    <w:r>
      <w:rPr>
        <w:rFonts w:cs="Arial"/>
        <w:noProof/>
      </w:rPr>
      <w:drawing>
        <wp:inline distT="0" distB="0" distL="0" distR="0">
          <wp:extent cx="1647825" cy="476250"/>
          <wp:effectExtent l="19050" t="0" r="9525" b="0"/>
          <wp:docPr id="4" name="Picture 4" descr="gc_h2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c_h2p"/>
                  <pic:cNvPicPr>
                    <a:picLocks noChangeAspect="1" noChangeArrowheads="1"/>
                  </pic:cNvPicPr>
                </pic:nvPicPr>
                <pic:blipFill>
                  <a:blip r:embed="rId1"/>
                  <a:srcRect/>
                  <a:stretch>
                    <a:fillRect/>
                  </a:stretch>
                </pic:blipFill>
                <pic:spPr bwMode="auto">
                  <a:xfrm>
                    <a:off x="0" y="0"/>
                    <a:ext cx="1647825" cy="476250"/>
                  </a:xfrm>
                  <a:prstGeom prst="rect">
                    <a:avLst/>
                  </a:prstGeom>
                  <a:noFill/>
                  <a:ln w="9525">
                    <a:noFill/>
                    <a:miter lim="800000"/>
                    <a:headEnd/>
                    <a:tailEnd/>
                  </a:ln>
                </pic:spPr>
              </pic:pic>
            </a:graphicData>
          </a:graphic>
        </wp:inline>
      </w:drawing>
    </w:r>
  </w:p>
  <w:p w:rsidR="00D45FBB" w:rsidRDefault="00D45FB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4"/>
    <w:lvl w:ilvl="0">
      <w:start w:val="1"/>
      <w:numFmt w:val="decimal"/>
      <w:lvlText w:val="%1."/>
      <w:lvlJc w:val="left"/>
      <w:pPr>
        <w:tabs>
          <w:tab w:val="num" w:pos="720"/>
        </w:tabs>
        <w:ind w:left="720" w:hanging="360"/>
      </w:pPr>
    </w:lvl>
  </w:abstractNum>
  <w:abstractNum w:abstractNumId="1" w15:restartNumberingAfterBreak="0">
    <w:nsid w:val="029D6FC2"/>
    <w:multiLevelType w:val="hybridMultilevel"/>
    <w:tmpl w:val="82627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CC16A9"/>
    <w:multiLevelType w:val="hybridMultilevel"/>
    <w:tmpl w:val="5FCEF75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5C19D9"/>
    <w:multiLevelType w:val="multilevel"/>
    <w:tmpl w:val="F4228734"/>
    <w:lvl w:ilvl="0">
      <w:start w:val="1"/>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hint="default"/>
      </w:rPr>
    </w:lvl>
    <w:lvl w:ilvl="3">
      <w:start w:val="1"/>
      <w:numFmt w:val="decimal"/>
      <w:pStyle w:val="PR2"/>
      <w:lvlText w:val="%4."/>
      <w:lvlJc w:val="left"/>
      <w:pPr>
        <w:tabs>
          <w:tab w:val="num" w:pos="1584"/>
        </w:tabs>
        <w:ind w:left="1584" w:hanging="432"/>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4" w15:restartNumberingAfterBreak="0">
    <w:nsid w:val="1784557E"/>
    <w:multiLevelType w:val="multilevel"/>
    <w:tmpl w:val="EF8C615E"/>
    <w:lvl w:ilvl="0">
      <w:start w:val="1"/>
      <w:numFmt w:val="decimal"/>
      <w:lvlText w:val="Section %1."/>
      <w:lvlJc w:val="left"/>
      <w:pPr>
        <w:tabs>
          <w:tab w:val="num" w:pos="1440"/>
        </w:tabs>
        <w:ind w:left="1440" w:hanging="1440"/>
      </w:pPr>
      <w:rPr>
        <w:rFonts w:ascii="Arial" w:hAnsi="Arial" w:hint="default"/>
        <w:sz w:val="28"/>
      </w:rPr>
    </w:lvl>
    <w:lvl w:ilvl="1">
      <w:start w:val="1"/>
      <w:numFmt w:val="decimal"/>
      <w:pStyle w:val="PAR1"/>
      <w:lvlText w:val="%1.%2"/>
      <w:lvlJc w:val="left"/>
      <w:pPr>
        <w:tabs>
          <w:tab w:val="num" w:pos="576"/>
        </w:tabs>
        <w:ind w:left="576" w:hanging="576"/>
      </w:pPr>
      <w:rPr>
        <w:rFonts w:cs="Times New Roman"/>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4D6430C4"/>
    <w:multiLevelType w:val="hybridMultilevel"/>
    <w:tmpl w:val="92F43C7E"/>
    <w:lvl w:ilvl="0" w:tplc="91724E58">
      <w:start w:val="1"/>
      <w:numFmt w:val="decimal"/>
      <w:pStyle w:val="FIG"/>
      <w:lvlText w:val="Figure %1 -"/>
      <w:lvlJc w:val="center"/>
      <w:pPr>
        <w:tabs>
          <w:tab w:val="num" w:pos="720"/>
        </w:tabs>
        <w:ind w:left="0" w:firstLine="0"/>
      </w:pPr>
      <w:rPr>
        <w:rFonts w:ascii="Arial" w:hAnsi="Arial" w:hint="default"/>
        <w:b/>
        <w:i w:val="0"/>
        <w:sz w:val="20"/>
      </w:rPr>
    </w:lvl>
    <w:lvl w:ilvl="1" w:tplc="20023290" w:tentative="1">
      <w:start w:val="1"/>
      <w:numFmt w:val="lowerLetter"/>
      <w:lvlText w:val="%2."/>
      <w:lvlJc w:val="left"/>
      <w:pPr>
        <w:tabs>
          <w:tab w:val="num" w:pos="1440"/>
        </w:tabs>
        <w:ind w:left="1440" w:hanging="360"/>
      </w:pPr>
    </w:lvl>
    <w:lvl w:ilvl="2" w:tplc="4704E55A" w:tentative="1">
      <w:start w:val="1"/>
      <w:numFmt w:val="lowerRoman"/>
      <w:lvlText w:val="%3."/>
      <w:lvlJc w:val="right"/>
      <w:pPr>
        <w:tabs>
          <w:tab w:val="num" w:pos="2160"/>
        </w:tabs>
        <w:ind w:left="2160" w:hanging="180"/>
      </w:pPr>
    </w:lvl>
    <w:lvl w:ilvl="3" w:tplc="5578392C" w:tentative="1">
      <w:start w:val="1"/>
      <w:numFmt w:val="decimal"/>
      <w:lvlText w:val="%4."/>
      <w:lvlJc w:val="left"/>
      <w:pPr>
        <w:tabs>
          <w:tab w:val="num" w:pos="2880"/>
        </w:tabs>
        <w:ind w:left="2880" w:hanging="360"/>
      </w:pPr>
    </w:lvl>
    <w:lvl w:ilvl="4" w:tplc="BDD2CB94" w:tentative="1">
      <w:start w:val="1"/>
      <w:numFmt w:val="lowerLetter"/>
      <w:lvlText w:val="%5."/>
      <w:lvlJc w:val="left"/>
      <w:pPr>
        <w:tabs>
          <w:tab w:val="num" w:pos="3600"/>
        </w:tabs>
        <w:ind w:left="3600" w:hanging="360"/>
      </w:pPr>
    </w:lvl>
    <w:lvl w:ilvl="5" w:tplc="89C49758" w:tentative="1">
      <w:start w:val="1"/>
      <w:numFmt w:val="lowerRoman"/>
      <w:lvlText w:val="%6."/>
      <w:lvlJc w:val="right"/>
      <w:pPr>
        <w:tabs>
          <w:tab w:val="num" w:pos="4320"/>
        </w:tabs>
        <w:ind w:left="4320" w:hanging="180"/>
      </w:pPr>
    </w:lvl>
    <w:lvl w:ilvl="6" w:tplc="A34AF35C" w:tentative="1">
      <w:start w:val="1"/>
      <w:numFmt w:val="decimal"/>
      <w:lvlText w:val="%7."/>
      <w:lvlJc w:val="left"/>
      <w:pPr>
        <w:tabs>
          <w:tab w:val="num" w:pos="5040"/>
        </w:tabs>
        <w:ind w:left="5040" w:hanging="360"/>
      </w:pPr>
    </w:lvl>
    <w:lvl w:ilvl="7" w:tplc="CE3EDE72" w:tentative="1">
      <w:start w:val="1"/>
      <w:numFmt w:val="lowerLetter"/>
      <w:lvlText w:val="%8."/>
      <w:lvlJc w:val="left"/>
      <w:pPr>
        <w:tabs>
          <w:tab w:val="num" w:pos="5760"/>
        </w:tabs>
        <w:ind w:left="5760" w:hanging="360"/>
      </w:pPr>
    </w:lvl>
    <w:lvl w:ilvl="8" w:tplc="4CFE126E" w:tentative="1">
      <w:start w:val="1"/>
      <w:numFmt w:val="lowerRoman"/>
      <w:lvlText w:val="%9."/>
      <w:lvlJc w:val="right"/>
      <w:pPr>
        <w:tabs>
          <w:tab w:val="num" w:pos="6480"/>
        </w:tabs>
        <w:ind w:left="6480" w:hanging="180"/>
      </w:pPr>
    </w:lvl>
  </w:abstractNum>
  <w:abstractNum w:abstractNumId="6" w15:restartNumberingAfterBreak="0">
    <w:nsid w:val="65A12FE7"/>
    <w:multiLevelType w:val="multilevel"/>
    <w:tmpl w:val="943A1D90"/>
    <w:lvl w:ilvl="0">
      <w:start w:val="1"/>
      <w:numFmt w:val="decimal"/>
      <w:suff w:val="nothing"/>
      <w:lvlText w:val="PART %1 - "/>
      <w:lvlJc w:val="left"/>
      <w:pPr>
        <w:ind w:left="576" w:hanging="576"/>
      </w:pPr>
      <w:rPr>
        <w:rFonts w:ascii="Arial" w:hAnsi="Arial" w:hint="default"/>
        <w:b/>
        <w:i w:val="0"/>
        <w:sz w:val="20"/>
      </w:rPr>
    </w:lvl>
    <w:lvl w:ilvl="1">
      <w:start w:val="1"/>
      <w:numFmt w:val="decimalZero"/>
      <w:pStyle w:val="SEC"/>
      <w:lvlText w:val="%1.%2"/>
      <w:lvlJc w:val="left"/>
      <w:pPr>
        <w:tabs>
          <w:tab w:val="num" w:pos="720"/>
        </w:tabs>
        <w:ind w:left="720" w:hanging="720"/>
      </w:pPr>
      <w:rPr>
        <w:rFonts w:hint="default"/>
        <w:b/>
        <w:i w:val="0"/>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ascii="Arial" w:hAnsi="Arial" w:hint="default"/>
        <w:b w:val="0"/>
        <w:i w:val="0"/>
        <w:sz w:val="20"/>
      </w:rPr>
    </w:lvl>
    <w:lvl w:ilvl="4">
      <w:start w:val="1"/>
      <w:numFmt w:val="lowerLetter"/>
      <w:lvlText w:val="%5."/>
      <w:lvlJc w:val="left"/>
      <w:pPr>
        <w:tabs>
          <w:tab w:val="num" w:pos="2016"/>
        </w:tabs>
        <w:ind w:left="2016" w:hanging="432"/>
      </w:pPr>
      <w:rPr>
        <w:rFonts w:ascii="Arial" w:hAnsi="Arial" w:hint="default"/>
        <w:b w:val="0"/>
        <w:i w:val="0"/>
        <w:sz w:val="20"/>
      </w:rPr>
    </w:lvl>
    <w:lvl w:ilvl="5">
      <w:start w:val="1"/>
      <w:numFmt w:val="lowerRoman"/>
      <w:lvlText w:val="%6."/>
      <w:lvlJc w:val="left"/>
      <w:pPr>
        <w:tabs>
          <w:tab w:val="num" w:pos="2736"/>
        </w:tabs>
        <w:ind w:left="2448" w:hanging="432"/>
      </w:pPr>
      <w:rPr>
        <w:rFonts w:ascii="Arial" w:hAnsi="Arial" w:hint="default"/>
        <w:b w:val="0"/>
        <w:i w:val="0"/>
        <w:sz w:val="20"/>
      </w:rPr>
    </w:lvl>
    <w:lvl w:ilvl="6">
      <w:start w:val="1"/>
      <w:numFmt w:val="lowerLetter"/>
      <w:lvlText w:val="%7)"/>
      <w:lvlJc w:val="left"/>
      <w:pPr>
        <w:tabs>
          <w:tab w:val="num" w:pos="2880"/>
        </w:tabs>
        <w:ind w:left="2880" w:hanging="432"/>
      </w:pPr>
      <w:rPr>
        <w:rFonts w:ascii="Arial" w:hAnsi="Arial" w:hint="default"/>
        <w:b w:val="0"/>
        <w:i w:val="0"/>
        <w:sz w:val="20"/>
      </w:rPr>
    </w:lvl>
    <w:lvl w:ilvl="7">
      <w:start w:val="1"/>
      <w:numFmt w:val="lowerRoman"/>
      <w:lvlText w:val="%8)"/>
      <w:lvlJc w:val="left"/>
      <w:pPr>
        <w:tabs>
          <w:tab w:val="num" w:pos="3600"/>
        </w:tabs>
        <w:ind w:left="3312" w:hanging="432"/>
      </w:pPr>
      <w:rPr>
        <w:rFonts w:ascii="Arial" w:hAnsi="Arial" w:hint="default"/>
        <w:b w:val="0"/>
        <w:i w:val="0"/>
        <w:sz w:val="20"/>
      </w:rPr>
    </w:lvl>
    <w:lvl w:ilvl="8">
      <w:start w:val="27"/>
      <w:numFmt w:val="lowerLetter"/>
      <w:lvlText w:val="%9)"/>
      <w:lvlJc w:val="left"/>
      <w:pPr>
        <w:tabs>
          <w:tab w:val="num" w:pos="3744"/>
        </w:tabs>
        <w:ind w:left="3744" w:hanging="432"/>
      </w:pPr>
      <w:rPr>
        <w:rFonts w:ascii="Arial" w:hAnsi="Arial" w:hint="default"/>
        <w:b w:val="0"/>
        <w:i w:val="0"/>
        <w:sz w:val="20"/>
      </w:rPr>
    </w:lvl>
  </w:abstractNum>
  <w:abstractNum w:abstractNumId="7" w15:restartNumberingAfterBreak="0">
    <w:nsid w:val="72B848A4"/>
    <w:multiLevelType w:val="singleLevel"/>
    <w:tmpl w:val="452E5236"/>
    <w:lvl w:ilvl="0">
      <w:start w:val="1"/>
      <w:numFmt w:val="decimal"/>
      <w:pStyle w:val="Style3"/>
      <w:lvlText w:val="%1."/>
      <w:legacy w:legacy="1" w:legacySpace="0" w:legacyIndent="0"/>
      <w:lvlJc w:val="left"/>
      <w:rPr>
        <w:rFonts w:cs="Times New Roman"/>
      </w:rPr>
    </w:lvl>
  </w:abstractNum>
  <w:num w:numId="1">
    <w:abstractNumId w:val="3"/>
  </w:num>
  <w:num w:numId="2">
    <w:abstractNumId w:val="5"/>
  </w:num>
  <w:num w:numId="3">
    <w:abstractNumId w:val="7"/>
  </w:num>
  <w:num w:numId="4">
    <w:abstractNumId w:val="4"/>
  </w:num>
  <w:num w:numId="5">
    <w:abstractNumId w:val="6"/>
  </w:num>
  <w:num w:numId="6">
    <w:abstractNumId w:val="1"/>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autoHyphenation/>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pos w:val="sectEnd"/>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041"/>
    <w:rsid w:val="000019A7"/>
    <w:rsid w:val="00004721"/>
    <w:rsid w:val="00013C2A"/>
    <w:rsid w:val="00015708"/>
    <w:rsid w:val="00016A68"/>
    <w:rsid w:val="0002467B"/>
    <w:rsid w:val="00026CCA"/>
    <w:rsid w:val="0003062A"/>
    <w:rsid w:val="0003180B"/>
    <w:rsid w:val="0003200F"/>
    <w:rsid w:val="000327DF"/>
    <w:rsid w:val="00040A45"/>
    <w:rsid w:val="00051F99"/>
    <w:rsid w:val="00056DD3"/>
    <w:rsid w:val="0006072D"/>
    <w:rsid w:val="00071BD1"/>
    <w:rsid w:val="0007320D"/>
    <w:rsid w:val="00074CE3"/>
    <w:rsid w:val="000908DA"/>
    <w:rsid w:val="000912E8"/>
    <w:rsid w:val="00091CB6"/>
    <w:rsid w:val="000928BA"/>
    <w:rsid w:val="0009734D"/>
    <w:rsid w:val="000A4898"/>
    <w:rsid w:val="000A7A5A"/>
    <w:rsid w:val="000B1D12"/>
    <w:rsid w:val="000B2051"/>
    <w:rsid w:val="000B75EA"/>
    <w:rsid w:val="000C3D0A"/>
    <w:rsid w:val="000C5E44"/>
    <w:rsid w:val="000C6719"/>
    <w:rsid w:val="000D07B1"/>
    <w:rsid w:val="000D0D55"/>
    <w:rsid w:val="000D2D38"/>
    <w:rsid w:val="000D6A7B"/>
    <w:rsid w:val="000D75EF"/>
    <w:rsid w:val="000E4EE0"/>
    <w:rsid w:val="000E6FF9"/>
    <w:rsid w:val="000E70EE"/>
    <w:rsid w:val="000F69A2"/>
    <w:rsid w:val="000F6B04"/>
    <w:rsid w:val="0010447C"/>
    <w:rsid w:val="00132837"/>
    <w:rsid w:val="00134D70"/>
    <w:rsid w:val="0013621E"/>
    <w:rsid w:val="0013678D"/>
    <w:rsid w:val="00140C78"/>
    <w:rsid w:val="0014230F"/>
    <w:rsid w:val="00152B8C"/>
    <w:rsid w:val="00155758"/>
    <w:rsid w:val="00155A4E"/>
    <w:rsid w:val="00172E5F"/>
    <w:rsid w:val="00173402"/>
    <w:rsid w:val="00176E8E"/>
    <w:rsid w:val="00186B46"/>
    <w:rsid w:val="00193D7D"/>
    <w:rsid w:val="00196349"/>
    <w:rsid w:val="001A3391"/>
    <w:rsid w:val="001A5765"/>
    <w:rsid w:val="001A794D"/>
    <w:rsid w:val="001B0F08"/>
    <w:rsid w:val="001B5319"/>
    <w:rsid w:val="001B734E"/>
    <w:rsid w:val="001C41FE"/>
    <w:rsid w:val="001C538E"/>
    <w:rsid w:val="001C644E"/>
    <w:rsid w:val="001D58F3"/>
    <w:rsid w:val="001E3570"/>
    <w:rsid w:val="001E5DFB"/>
    <w:rsid w:val="001E5E84"/>
    <w:rsid w:val="001E6103"/>
    <w:rsid w:val="001E6EC9"/>
    <w:rsid w:val="001E7918"/>
    <w:rsid w:val="001F0D3F"/>
    <w:rsid w:val="001F63EC"/>
    <w:rsid w:val="00202F0F"/>
    <w:rsid w:val="00203B8B"/>
    <w:rsid w:val="00216F89"/>
    <w:rsid w:val="00231A62"/>
    <w:rsid w:val="00231CC1"/>
    <w:rsid w:val="00234DE0"/>
    <w:rsid w:val="0023536B"/>
    <w:rsid w:val="00242BD3"/>
    <w:rsid w:val="00245E3A"/>
    <w:rsid w:val="00256CA7"/>
    <w:rsid w:val="0026205D"/>
    <w:rsid w:val="00262F65"/>
    <w:rsid w:val="00265384"/>
    <w:rsid w:val="0026650B"/>
    <w:rsid w:val="00267993"/>
    <w:rsid w:val="00271717"/>
    <w:rsid w:val="00274B65"/>
    <w:rsid w:val="002753ED"/>
    <w:rsid w:val="002763A3"/>
    <w:rsid w:val="00295F85"/>
    <w:rsid w:val="00296389"/>
    <w:rsid w:val="002A3ED7"/>
    <w:rsid w:val="002A7D0E"/>
    <w:rsid w:val="002B0D3A"/>
    <w:rsid w:val="002B26A6"/>
    <w:rsid w:val="002B7EF1"/>
    <w:rsid w:val="002C1B74"/>
    <w:rsid w:val="002C6E2D"/>
    <w:rsid w:val="002D1AC6"/>
    <w:rsid w:val="002D6344"/>
    <w:rsid w:val="002D6373"/>
    <w:rsid w:val="002E6914"/>
    <w:rsid w:val="002F29DD"/>
    <w:rsid w:val="002F7E2E"/>
    <w:rsid w:val="002F7EBB"/>
    <w:rsid w:val="003026E0"/>
    <w:rsid w:val="00306067"/>
    <w:rsid w:val="00315568"/>
    <w:rsid w:val="00315769"/>
    <w:rsid w:val="0032018E"/>
    <w:rsid w:val="00320FE0"/>
    <w:rsid w:val="00323DEA"/>
    <w:rsid w:val="00331EF3"/>
    <w:rsid w:val="003322A7"/>
    <w:rsid w:val="00332D61"/>
    <w:rsid w:val="003401CC"/>
    <w:rsid w:val="003426FC"/>
    <w:rsid w:val="00344A1B"/>
    <w:rsid w:val="00344E1B"/>
    <w:rsid w:val="00346DF2"/>
    <w:rsid w:val="0035446C"/>
    <w:rsid w:val="003627A9"/>
    <w:rsid w:val="00364B2C"/>
    <w:rsid w:val="00366475"/>
    <w:rsid w:val="003724D2"/>
    <w:rsid w:val="00372C62"/>
    <w:rsid w:val="003910E5"/>
    <w:rsid w:val="003927E7"/>
    <w:rsid w:val="0039316D"/>
    <w:rsid w:val="0039490C"/>
    <w:rsid w:val="003A190E"/>
    <w:rsid w:val="003B152F"/>
    <w:rsid w:val="003B329F"/>
    <w:rsid w:val="003B3A3A"/>
    <w:rsid w:val="003C280E"/>
    <w:rsid w:val="003D25BE"/>
    <w:rsid w:val="003F2BB3"/>
    <w:rsid w:val="003F45C0"/>
    <w:rsid w:val="003F6B31"/>
    <w:rsid w:val="00402EB7"/>
    <w:rsid w:val="0040425D"/>
    <w:rsid w:val="00404B94"/>
    <w:rsid w:val="004128CF"/>
    <w:rsid w:val="00412D4C"/>
    <w:rsid w:val="00417229"/>
    <w:rsid w:val="00422348"/>
    <w:rsid w:val="00425D2F"/>
    <w:rsid w:val="00452055"/>
    <w:rsid w:val="00453D89"/>
    <w:rsid w:val="00457DE7"/>
    <w:rsid w:val="004809CA"/>
    <w:rsid w:val="004853CA"/>
    <w:rsid w:val="00491BE0"/>
    <w:rsid w:val="00494806"/>
    <w:rsid w:val="004A36FD"/>
    <w:rsid w:val="004A4E58"/>
    <w:rsid w:val="004A65C8"/>
    <w:rsid w:val="004A6750"/>
    <w:rsid w:val="004B4EBF"/>
    <w:rsid w:val="004B71DF"/>
    <w:rsid w:val="004C5D11"/>
    <w:rsid w:val="004D30AF"/>
    <w:rsid w:val="004D5575"/>
    <w:rsid w:val="004E69B0"/>
    <w:rsid w:val="004F4C1C"/>
    <w:rsid w:val="00501466"/>
    <w:rsid w:val="00521543"/>
    <w:rsid w:val="00525922"/>
    <w:rsid w:val="005438D8"/>
    <w:rsid w:val="00554B81"/>
    <w:rsid w:val="0057262B"/>
    <w:rsid w:val="005732E8"/>
    <w:rsid w:val="00574441"/>
    <w:rsid w:val="00574F8B"/>
    <w:rsid w:val="005752A0"/>
    <w:rsid w:val="005757E0"/>
    <w:rsid w:val="005820A9"/>
    <w:rsid w:val="005848F6"/>
    <w:rsid w:val="00586716"/>
    <w:rsid w:val="005A0A34"/>
    <w:rsid w:val="005A7272"/>
    <w:rsid w:val="005A7AE9"/>
    <w:rsid w:val="005B3C3F"/>
    <w:rsid w:val="005B4C1B"/>
    <w:rsid w:val="005C00C6"/>
    <w:rsid w:val="005C0B3F"/>
    <w:rsid w:val="005C0C2D"/>
    <w:rsid w:val="005C33AD"/>
    <w:rsid w:val="005C3859"/>
    <w:rsid w:val="005C3D70"/>
    <w:rsid w:val="005C4D98"/>
    <w:rsid w:val="005D1C97"/>
    <w:rsid w:val="005D2E71"/>
    <w:rsid w:val="005E38F9"/>
    <w:rsid w:val="005E5E42"/>
    <w:rsid w:val="0060192D"/>
    <w:rsid w:val="00607B65"/>
    <w:rsid w:val="006146C3"/>
    <w:rsid w:val="00615333"/>
    <w:rsid w:val="00624C4A"/>
    <w:rsid w:val="00625528"/>
    <w:rsid w:val="00631335"/>
    <w:rsid w:val="00631942"/>
    <w:rsid w:val="00631A5A"/>
    <w:rsid w:val="00645E82"/>
    <w:rsid w:val="00654705"/>
    <w:rsid w:val="00656420"/>
    <w:rsid w:val="00662B19"/>
    <w:rsid w:val="00664070"/>
    <w:rsid w:val="00665D70"/>
    <w:rsid w:val="00671D77"/>
    <w:rsid w:val="00682F98"/>
    <w:rsid w:val="00690DF9"/>
    <w:rsid w:val="00697596"/>
    <w:rsid w:val="006A7348"/>
    <w:rsid w:val="006C3F15"/>
    <w:rsid w:val="006D042A"/>
    <w:rsid w:val="006E03B8"/>
    <w:rsid w:val="006E32BF"/>
    <w:rsid w:val="006E65FB"/>
    <w:rsid w:val="006F0B63"/>
    <w:rsid w:val="006F409E"/>
    <w:rsid w:val="006F4A06"/>
    <w:rsid w:val="0070260B"/>
    <w:rsid w:val="00705B85"/>
    <w:rsid w:val="0070646A"/>
    <w:rsid w:val="00710025"/>
    <w:rsid w:val="00715CA4"/>
    <w:rsid w:val="00716764"/>
    <w:rsid w:val="00725F4A"/>
    <w:rsid w:val="007336C0"/>
    <w:rsid w:val="00734100"/>
    <w:rsid w:val="00735288"/>
    <w:rsid w:val="00743FA7"/>
    <w:rsid w:val="00757DC9"/>
    <w:rsid w:val="007618FE"/>
    <w:rsid w:val="00761DEE"/>
    <w:rsid w:val="00762C01"/>
    <w:rsid w:val="00763A37"/>
    <w:rsid w:val="00767386"/>
    <w:rsid w:val="0077384D"/>
    <w:rsid w:val="00780145"/>
    <w:rsid w:val="00783BF4"/>
    <w:rsid w:val="00793C88"/>
    <w:rsid w:val="007969B8"/>
    <w:rsid w:val="007A767B"/>
    <w:rsid w:val="007B1671"/>
    <w:rsid w:val="007B2E69"/>
    <w:rsid w:val="007B5B83"/>
    <w:rsid w:val="007C647A"/>
    <w:rsid w:val="007C6C7D"/>
    <w:rsid w:val="007C787B"/>
    <w:rsid w:val="007E0433"/>
    <w:rsid w:val="007E0AD6"/>
    <w:rsid w:val="007E0B6C"/>
    <w:rsid w:val="007E43FA"/>
    <w:rsid w:val="007E7E10"/>
    <w:rsid w:val="00800ED3"/>
    <w:rsid w:val="00801524"/>
    <w:rsid w:val="00805D32"/>
    <w:rsid w:val="008116B0"/>
    <w:rsid w:val="00811C2D"/>
    <w:rsid w:val="008147F2"/>
    <w:rsid w:val="008305A5"/>
    <w:rsid w:val="0083112C"/>
    <w:rsid w:val="00834C87"/>
    <w:rsid w:val="00836A46"/>
    <w:rsid w:val="0083700D"/>
    <w:rsid w:val="00842D3C"/>
    <w:rsid w:val="008437DA"/>
    <w:rsid w:val="008447AB"/>
    <w:rsid w:val="008460FF"/>
    <w:rsid w:val="00851DC1"/>
    <w:rsid w:val="008544D9"/>
    <w:rsid w:val="008548EB"/>
    <w:rsid w:val="00856E50"/>
    <w:rsid w:val="00856F1B"/>
    <w:rsid w:val="008571FB"/>
    <w:rsid w:val="0086344D"/>
    <w:rsid w:val="00867ABF"/>
    <w:rsid w:val="0087252B"/>
    <w:rsid w:val="00877B4F"/>
    <w:rsid w:val="00883ABB"/>
    <w:rsid w:val="00890148"/>
    <w:rsid w:val="00891829"/>
    <w:rsid w:val="00897907"/>
    <w:rsid w:val="008A0C5A"/>
    <w:rsid w:val="008A1EAF"/>
    <w:rsid w:val="008A5D4D"/>
    <w:rsid w:val="008A7D37"/>
    <w:rsid w:val="008B48FA"/>
    <w:rsid w:val="008C1020"/>
    <w:rsid w:val="008C3B23"/>
    <w:rsid w:val="008D4F7A"/>
    <w:rsid w:val="008D5034"/>
    <w:rsid w:val="008D7513"/>
    <w:rsid w:val="008E3582"/>
    <w:rsid w:val="008E36A5"/>
    <w:rsid w:val="008E4CD8"/>
    <w:rsid w:val="008E632B"/>
    <w:rsid w:val="008F2CB4"/>
    <w:rsid w:val="008F7ACF"/>
    <w:rsid w:val="00900DA9"/>
    <w:rsid w:val="00903613"/>
    <w:rsid w:val="00905F2D"/>
    <w:rsid w:val="00912C74"/>
    <w:rsid w:val="00914A34"/>
    <w:rsid w:val="00920E78"/>
    <w:rsid w:val="009227C4"/>
    <w:rsid w:val="0092503E"/>
    <w:rsid w:val="009327EC"/>
    <w:rsid w:val="00933D06"/>
    <w:rsid w:val="009421F5"/>
    <w:rsid w:val="00942D51"/>
    <w:rsid w:val="0095583C"/>
    <w:rsid w:val="00965441"/>
    <w:rsid w:val="009656CA"/>
    <w:rsid w:val="00973F8E"/>
    <w:rsid w:val="00976638"/>
    <w:rsid w:val="0098559E"/>
    <w:rsid w:val="00986D3D"/>
    <w:rsid w:val="0098791F"/>
    <w:rsid w:val="00997924"/>
    <w:rsid w:val="009A0AC8"/>
    <w:rsid w:val="009A195B"/>
    <w:rsid w:val="009A2601"/>
    <w:rsid w:val="009B3A08"/>
    <w:rsid w:val="009B5E10"/>
    <w:rsid w:val="009C071D"/>
    <w:rsid w:val="009C2EE6"/>
    <w:rsid w:val="009C314C"/>
    <w:rsid w:val="009C3FC1"/>
    <w:rsid w:val="009C633A"/>
    <w:rsid w:val="009C7929"/>
    <w:rsid w:val="009D47E4"/>
    <w:rsid w:val="009E0AEA"/>
    <w:rsid w:val="009E155C"/>
    <w:rsid w:val="009E4C2C"/>
    <w:rsid w:val="009E51FC"/>
    <w:rsid w:val="009E53BD"/>
    <w:rsid w:val="009E79D3"/>
    <w:rsid w:val="00A00655"/>
    <w:rsid w:val="00A02C84"/>
    <w:rsid w:val="00A21D66"/>
    <w:rsid w:val="00A30361"/>
    <w:rsid w:val="00A37C21"/>
    <w:rsid w:val="00A4022A"/>
    <w:rsid w:val="00A408A4"/>
    <w:rsid w:val="00A4467F"/>
    <w:rsid w:val="00A4623A"/>
    <w:rsid w:val="00A62694"/>
    <w:rsid w:val="00A65EAC"/>
    <w:rsid w:val="00A71A5B"/>
    <w:rsid w:val="00A73DD3"/>
    <w:rsid w:val="00A7551A"/>
    <w:rsid w:val="00A81D68"/>
    <w:rsid w:val="00A821E9"/>
    <w:rsid w:val="00A826F3"/>
    <w:rsid w:val="00A94961"/>
    <w:rsid w:val="00A94B69"/>
    <w:rsid w:val="00A96A99"/>
    <w:rsid w:val="00AA0A96"/>
    <w:rsid w:val="00AA12FC"/>
    <w:rsid w:val="00AA2CB9"/>
    <w:rsid w:val="00AB7350"/>
    <w:rsid w:val="00AD0F2D"/>
    <w:rsid w:val="00AD22C9"/>
    <w:rsid w:val="00AD2624"/>
    <w:rsid w:val="00AD3379"/>
    <w:rsid w:val="00AD545D"/>
    <w:rsid w:val="00AD6DBD"/>
    <w:rsid w:val="00AE50B4"/>
    <w:rsid w:val="00AF128D"/>
    <w:rsid w:val="00AF56B3"/>
    <w:rsid w:val="00B07509"/>
    <w:rsid w:val="00B07AE0"/>
    <w:rsid w:val="00B22016"/>
    <w:rsid w:val="00B37F85"/>
    <w:rsid w:val="00B4083A"/>
    <w:rsid w:val="00B50897"/>
    <w:rsid w:val="00B50C09"/>
    <w:rsid w:val="00B5439B"/>
    <w:rsid w:val="00B560C7"/>
    <w:rsid w:val="00B60562"/>
    <w:rsid w:val="00B67E75"/>
    <w:rsid w:val="00B7135A"/>
    <w:rsid w:val="00B7699F"/>
    <w:rsid w:val="00B8221A"/>
    <w:rsid w:val="00B835BC"/>
    <w:rsid w:val="00B85A73"/>
    <w:rsid w:val="00BC2743"/>
    <w:rsid w:val="00BC737B"/>
    <w:rsid w:val="00BD1222"/>
    <w:rsid w:val="00BD2C5C"/>
    <w:rsid w:val="00BD3FEE"/>
    <w:rsid w:val="00BD4B62"/>
    <w:rsid w:val="00BD7869"/>
    <w:rsid w:val="00BD7E04"/>
    <w:rsid w:val="00BE247C"/>
    <w:rsid w:val="00C02E42"/>
    <w:rsid w:val="00C033D6"/>
    <w:rsid w:val="00C117C2"/>
    <w:rsid w:val="00C12B13"/>
    <w:rsid w:val="00C13CA8"/>
    <w:rsid w:val="00C13DF9"/>
    <w:rsid w:val="00C14D83"/>
    <w:rsid w:val="00C15265"/>
    <w:rsid w:val="00C3340B"/>
    <w:rsid w:val="00C36E4C"/>
    <w:rsid w:val="00C41943"/>
    <w:rsid w:val="00C43573"/>
    <w:rsid w:val="00C4480F"/>
    <w:rsid w:val="00C50C3B"/>
    <w:rsid w:val="00C53B3F"/>
    <w:rsid w:val="00C670E6"/>
    <w:rsid w:val="00C735F4"/>
    <w:rsid w:val="00C831DF"/>
    <w:rsid w:val="00C87111"/>
    <w:rsid w:val="00C92D93"/>
    <w:rsid w:val="00C942B8"/>
    <w:rsid w:val="00C96F1A"/>
    <w:rsid w:val="00CA1869"/>
    <w:rsid w:val="00CA38E6"/>
    <w:rsid w:val="00CA5F39"/>
    <w:rsid w:val="00CB00B9"/>
    <w:rsid w:val="00CD2692"/>
    <w:rsid w:val="00CD7ABE"/>
    <w:rsid w:val="00CE068A"/>
    <w:rsid w:val="00CE1588"/>
    <w:rsid w:val="00CF0E70"/>
    <w:rsid w:val="00CF0E93"/>
    <w:rsid w:val="00CF1A7E"/>
    <w:rsid w:val="00D0014D"/>
    <w:rsid w:val="00D00EFC"/>
    <w:rsid w:val="00D06D47"/>
    <w:rsid w:val="00D12120"/>
    <w:rsid w:val="00D14D94"/>
    <w:rsid w:val="00D16692"/>
    <w:rsid w:val="00D17CA5"/>
    <w:rsid w:val="00D20534"/>
    <w:rsid w:val="00D220CC"/>
    <w:rsid w:val="00D22973"/>
    <w:rsid w:val="00D32B84"/>
    <w:rsid w:val="00D3428A"/>
    <w:rsid w:val="00D37601"/>
    <w:rsid w:val="00D45FBB"/>
    <w:rsid w:val="00D53E3A"/>
    <w:rsid w:val="00D54353"/>
    <w:rsid w:val="00D60695"/>
    <w:rsid w:val="00D64C10"/>
    <w:rsid w:val="00D6536D"/>
    <w:rsid w:val="00D65DEB"/>
    <w:rsid w:val="00D8544B"/>
    <w:rsid w:val="00D860D4"/>
    <w:rsid w:val="00D86BAF"/>
    <w:rsid w:val="00D92689"/>
    <w:rsid w:val="00D92F00"/>
    <w:rsid w:val="00DA298F"/>
    <w:rsid w:val="00DA4608"/>
    <w:rsid w:val="00DA480B"/>
    <w:rsid w:val="00DB3731"/>
    <w:rsid w:val="00DC24DA"/>
    <w:rsid w:val="00DD1AA7"/>
    <w:rsid w:val="00DD37AC"/>
    <w:rsid w:val="00DD4272"/>
    <w:rsid w:val="00DE7F9A"/>
    <w:rsid w:val="00DF6BB9"/>
    <w:rsid w:val="00E03FE9"/>
    <w:rsid w:val="00E136BA"/>
    <w:rsid w:val="00E159E0"/>
    <w:rsid w:val="00E15F83"/>
    <w:rsid w:val="00E20830"/>
    <w:rsid w:val="00E24FF0"/>
    <w:rsid w:val="00E25058"/>
    <w:rsid w:val="00E25B0C"/>
    <w:rsid w:val="00E30C99"/>
    <w:rsid w:val="00E42F9F"/>
    <w:rsid w:val="00E43820"/>
    <w:rsid w:val="00E54C3C"/>
    <w:rsid w:val="00E66466"/>
    <w:rsid w:val="00E742E8"/>
    <w:rsid w:val="00E74D6D"/>
    <w:rsid w:val="00E94A3D"/>
    <w:rsid w:val="00E96475"/>
    <w:rsid w:val="00E97D72"/>
    <w:rsid w:val="00EA3D34"/>
    <w:rsid w:val="00EB3E58"/>
    <w:rsid w:val="00EB5AC4"/>
    <w:rsid w:val="00EB708A"/>
    <w:rsid w:val="00EC4FFE"/>
    <w:rsid w:val="00ED5041"/>
    <w:rsid w:val="00ED57DD"/>
    <w:rsid w:val="00EE098E"/>
    <w:rsid w:val="00EF261A"/>
    <w:rsid w:val="00EF2C81"/>
    <w:rsid w:val="00EF2DDB"/>
    <w:rsid w:val="00F04924"/>
    <w:rsid w:val="00F05917"/>
    <w:rsid w:val="00F074C6"/>
    <w:rsid w:val="00F12DF5"/>
    <w:rsid w:val="00F1378B"/>
    <w:rsid w:val="00F14B20"/>
    <w:rsid w:val="00F15DEE"/>
    <w:rsid w:val="00F27330"/>
    <w:rsid w:val="00F3225A"/>
    <w:rsid w:val="00F34420"/>
    <w:rsid w:val="00F3468D"/>
    <w:rsid w:val="00F43986"/>
    <w:rsid w:val="00F44075"/>
    <w:rsid w:val="00F46104"/>
    <w:rsid w:val="00F472F8"/>
    <w:rsid w:val="00F53918"/>
    <w:rsid w:val="00F619EE"/>
    <w:rsid w:val="00F656DC"/>
    <w:rsid w:val="00F90842"/>
    <w:rsid w:val="00F95963"/>
    <w:rsid w:val="00F97C9C"/>
    <w:rsid w:val="00FB148B"/>
    <w:rsid w:val="00FB1F86"/>
    <w:rsid w:val="00FB20AA"/>
    <w:rsid w:val="00FC140F"/>
    <w:rsid w:val="00FC6126"/>
    <w:rsid w:val="00FD2D0E"/>
    <w:rsid w:val="00FD7528"/>
    <w:rsid w:val="00FE22AB"/>
    <w:rsid w:val="00FE3B4B"/>
    <w:rsid w:val="00FF29FD"/>
    <w:rsid w:val="00FF50D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4EEF501-D20D-4ECE-A498-7A8685783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aliases w:val="TblTxt"/>
    <w:qFormat/>
    <w:rsid w:val="009E79D3"/>
    <w:rPr>
      <w:rFonts w:ascii="Arial" w:hAnsi="Arial"/>
    </w:rPr>
  </w:style>
  <w:style w:type="paragraph" w:styleId="Heading1">
    <w:name w:val="heading 1"/>
    <w:basedOn w:val="Normal"/>
    <w:next w:val="Normal"/>
    <w:link w:val="Heading1Char"/>
    <w:qFormat/>
    <w:rsid w:val="002F29DD"/>
    <w:pPr>
      <w:keepNext/>
      <w:spacing w:before="240" w:after="60"/>
      <w:outlineLvl w:val="0"/>
    </w:pPr>
    <w:rPr>
      <w:rFonts w:cs="Arial"/>
      <w:b/>
      <w:bCs/>
      <w:kern w:val="32"/>
      <w:sz w:val="32"/>
      <w:szCs w:val="32"/>
    </w:rPr>
  </w:style>
  <w:style w:type="paragraph" w:styleId="Heading2">
    <w:name w:val="heading 2"/>
    <w:basedOn w:val="Normal"/>
    <w:next w:val="Normal"/>
    <w:qFormat/>
    <w:rsid w:val="00B07AE0"/>
    <w:pPr>
      <w:keepNext/>
      <w:spacing w:before="240" w:after="60"/>
      <w:outlineLvl w:val="1"/>
    </w:pPr>
    <w:rPr>
      <w:rFonts w:cs="Arial"/>
      <w:b/>
      <w:bCs/>
      <w:i/>
      <w:iCs/>
      <w:sz w:val="28"/>
      <w:szCs w:val="28"/>
    </w:rPr>
  </w:style>
  <w:style w:type="paragraph" w:styleId="Heading3">
    <w:name w:val="heading 3"/>
    <w:basedOn w:val="Normal"/>
    <w:next w:val="Normal"/>
    <w:qFormat/>
    <w:rsid w:val="001C644E"/>
    <w:pPr>
      <w:keepNext/>
      <w:numPr>
        <w:ilvl w:val="2"/>
        <w:numId w:val="4"/>
      </w:numPr>
      <w:spacing w:before="240" w:after="60"/>
      <w:outlineLvl w:val="2"/>
    </w:pPr>
    <w:rPr>
      <w:rFonts w:cs="Arial"/>
      <w:b/>
      <w:bCs/>
      <w:sz w:val="26"/>
      <w:szCs w:val="26"/>
    </w:rPr>
  </w:style>
  <w:style w:type="paragraph" w:styleId="Heading4">
    <w:name w:val="heading 4"/>
    <w:basedOn w:val="Normal"/>
    <w:next w:val="Normal"/>
    <w:qFormat/>
    <w:rsid w:val="001C644E"/>
    <w:pPr>
      <w:keepNext/>
      <w:numPr>
        <w:ilvl w:val="3"/>
        <w:numId w:val="4"/>
      </w:numPr>
      <w:jc w:val="right"/>
      <w:outlineLvl w:val="3"/>
    </w:pPr>
    <w:rPr>
      <w:rFonts w:cs="Arial"/>
      <w:b/>
      <w:color w:val="FF0000"/>
      <w:sz w:val="48"/>
      <w:szCs w:val="48"/>
    </w:rPr>
  </w:style>
  <w:style w:type="paragraph" w:styleId="Heading5">
    <w:name w:val="heading 5"/>
    <w:basedOn w:val="Normal"/>
    <w:next w:val="Normal"/>
    <w:qFormat/>
    <w:rsid w:val="001C644E"/>
    <w:pPr>
      <w:keepNext/>
      <w:numPr>
        <w:ilvl w:val="4"/>
        <w:numId w:val="4"/>
      </w:numPr>
      <w:autoSpaceDE w:val="0"/>
      <w:autoSpaceDN w:val="0"/>
      <w:adjustRightInd w:val="0"/>
      <w:outlineLvl w:val="4"/>
    </w:pPr>
    <w:rPr>
      <w:rFonts w:cs="Arial"/>
      <w:b/>
      <w:color w:val="000000"/>
      <w:szCs w:val="24"/>
    </w:rPr>
  </w:style>
  <w:style w:type="paragraph" w:styleId="Heading6">
    <w:name w:val="heading 6"/>
    <w:basedOn w:val="Normal"/>
    <w:next w:val="Normal"/>
    <w:qFormat/>
    <w:rsid w:val="001C644E"/>
    <w:pPr>
      <w:numPr>
        <w:ilvl w:val="5"/>
        <w:numId w:val="4"/>
      </w:numPr>
      <w:spacing w:before="240" w:after="60"/>
      <w:outlineLvl w:val="5"/>
    </w:pPr>
    <w:rPr>
      <w:rFonts w:ascii="Times New Roman" w:hAnsi="Times New Roman"/>
      <w:b/>
      <w:bCs/>
      <w:sz w:val="22"/>
      <w:szCs w:val="22"/>
    </w:rPr>
  </w:style>
  <w:style w:type="paragraph" w:styleId="Heading7">
    <w:name w:val="heading 7"/>
    <w:basedOn w:val="Normal"/>
    <w:next w:val="Normal"/>
    <w:qFormat/>
    <w:rsid w:val="001C644E"/>
    <w:pPr>
      <w:numPr>
        <w:ilvl w:val="6"/>
        <w:numId w:val="4"/>
      </w:numPr>
      <w:spacing w:before="240" w:after="60"/>
      <w:outlineLvl w:val="6"/>
    </w:pPr>
    <w:rPr>
      <w:rFonts w:ascii="Times New Roman" w:hAnsi="Times New Roman"/>
      <w:sz w:val="24"/>
      <w:szCs w:val="24"/>
    </w:rPr>
  </w:style>
  <w:style w:type="paragraph" w:styleId="Heading8">
    <w:name w:val="heading 8"/>
    <w:basedOn w:val="Normal"/>
    <w:next w:val="Normal"/>
    <w:qFormat/>
    <w:rsid w:val="001C644E"/>
    <w:pPr>
      <w:numPr>
        <w:ilvl w:val="7"/>
        <w:numId w:val="4"/>
      </w:numPr>
      <w:spacing w:before="240" w:after="60"/>
      <w:outlineLvl w:val="7"/>
    </w:pPr>
    <w:rPr>
      <w:rFonts w:ascii="Times New Roman" w:hAnsi="Times New Roman"/>
      <w:i/>
      <w:iCs/>
      <w:sz w:val="24"/>
      <w:szCs w:val="24"/>
    </w:rPr>
  </w:style>
  <w:style w:type="paragraph" w:styleId="Heading9">
    <w:name w:val="heading 9"/>
    <w:basedOn w:val="Normal"/>
    <w:next w:val="Normal"/>
    <w:qFormat/>
    <w:rsid w:val="001C644E"/>
    <w:pPr>
      <w:numPr>
        <w:ilvl w:val="8"/>
        <w:numId w:val="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basedOn w:val="Normal"/>
    <w:rsid w:val="008A1EAF"/>
    <w:pPr>
      <w:tabs>
        <w:tab w:val="center" w:pos="4608"/>
        <w:tab w:val="right" w:pos="9360"/>
      </w:tabs>
      <w:suppressAutoHyphens/>
      <w:jc w:val="both"/>
    </w:pPr>
  </w:style>
  <w:style w:type="paragraph" w:customStyle="1" w:styleId="FTR">
    <w:name w:val="FTR"/>
    <w:basedOn w:val="Normal"/>
    <w:rsid w:val="008A1EAF"/>
    <w:pPr>
      <w:tabs>
        <w:tab w:val="right" w:pos="9360"/>
      </w:tabs>
      <w:suppressAutoHyphens/>
      <w:jc w:val="both"/>
    </w:pPr>
  </w:style>
  <w:style w:type="paragraph" w:customStyle="1" w:styleId="SCT">
    <w:name w:val="SCT"/>
    <w:basedOn w:val="Normal"/>
    <w:next w:val="PRT"/>
    <w:link w:val="SCTChar"/>
    <w:rsid w:val="008A1EAF"/>
    <w:pPr>
      <w:suppressAutoHyphens/>
      <w:spacing w:before="240"/>
      <w:jc w:val="center"/>
    </w:pPr>
    <w:rPr>
      <w:b/>
    </w:rPr>
  </w:style>
  <w:style w:type="paragraph" w:customStyle="1" w:styleId="PRT">
    <w:name w:val="PRT"/>
    <w:next w:val="ART"/>
    <w:rsid w:val="001C644E"/>
    <w:pPr>
      <w:suppressAutoHyphens/>
      <w:spacing w:before="240"/>
      <w:outlineLvl w:val="0"/>
    </w:pPr>
    <w:rPr>
      <w:rFonts w:ascii="Arial" w:hAnsi="Arial"/>
      <w:b/>
      <w:caps/>
    </w:rPr>
  </w:style>
  <w:style w:type="paragraph" w:customStyle="1" w:styleId="SUT">
    <w:name w:val="SUT"/>
    <w:basedOn w:val="Normal"/>
    <w:next w:val="PR1"/>
    <w:rsid w:val="008A1EAF"/>
    <w:pPr>
      <w:suppressAutoHyphens/>
      <w:spacing w:before="240"/>
      <w:jc w:val="both"/>
      <w:outlineLvl w:val="0"/>
    </w:pPr>
  </w:style>
  <w:style w:type="paragraph" w:customStyle="1" w:styleId="DST">
    <w:name w:val="DST"/>
    <w:basedOn w:val="Normal"/>
    <w:next w:val="PR1"/>
    <w:rsid w:val="008A1EAF"/>
    <w:pPr>
      <w:suppressAutoHyphens/>
      <w:spacing w:before="240"/>
      <w:jc w:val="both"/>
      <w:outlineLvl w:val="0"/>
    </w:pPr>
  </w:style>
  <w:style w:type="paragraph" w:customStyle="1" w:styleId="ART">
    <w:name w:val="ART"/>
    <w:basedOn w:val="PRT"/>
    <w:next w:val="PR1"/>
    <w:rsid w:val="001C644E"/>
    <w:pPr>
      <w:numPr>
        <w:ilvl w:val="1"/>
        <w:numId w:val="1"/>
      </w:numPr>
      <w:outlineLvl w:val="1"/>
    </w:pPr>
  </w:style>
  <w:style w:type="paragraph" w:customStyle="1" w:styleId="PR1">
    <w:name w:val="PR1"/>
    <w:basedOn w:val="ART"/>
    <w:rsid w:val="001C644E"/>
    <w:pPr>
      <w:numPr>
        <w:ilvl w:val="2"/>
      </w:numPr>
      <w:outlineLvl w:val="2"/>
    </w:pPr>
    <w:rPr>
      <w:b w:val="0"/>
      <w:caps w:val="0"/>
    </w:rPr>
  </w:style>
  <w:style w:type="paragraph" w:customStyle="1" w:styleId="PR2">
    <w:name w:val="PR2"/>
    <w:basedOn w:val="PR1"/>
    <w:rsid w:val="001C644E"/>
    <w:pPr>
      <w:numPr>
        <w:ilvl w:val="3"/>
      </w:numPr>
      <w:spacing w:before="0"/>
      <w:outlineLvl w:val="3"/>
    </w:pPr>
  </w:style>
  <w:style w:type="paragraph" w:customStyle="1" w:styleId="PR3">
    <w:name w:val="PR3"/>
    <w:basedOn w:val="PR1"/>
    <w:rsid w:val="001C644E"/>
    <w:pPr>
      <w:numPr>
        <w:ilvl w:val="4"/>
      </w:numPr>
      <w:spacing w:before="0"/>
      <w:outlineLvl w:val="4"/>
    </w:pPr>
  </w:style>
  <w:style w:type="paragraph" w:customStyle="1" w:styleId="PR4">
    <w:name w:val="PR4"/>
    <w:basedOn w:val="PR1"/>
    <w:rsid w:val="001C644E"/>
    <w:pPr>
      <w:numPr>
        <w:ilvl w:val="5"/>
      </w:numPr>
      <w:tabs>
        <w:tab w:val="left" w:pos="2448"/>
      </w:tabs>
      <w:spacing w:before="0"/>
      <w:outlineLvl w:val="5"/>
    </w:pPr>
  </w:style>
  <w:style w:type="paragraph" w:customStyle="1" w:styleId="PR5">
    <w:name w:val="PR5"/>
    <w:basedOn w:val="PR1"/>
    <w:rsid w:val="001C644E"/>
    <w:pPr>
      <w:numPr>
        <w:ilvl w:val="6"/>
      </w:numPr>
      <w:spacing w:before="0"/>
      <w:outlineLvl w:val="6"/>
    </w:pPr>
  </w:style>
  <w:style w:type="paragraph" w:customStyle="1" w:styleId="TB1">
    <w:name w:val="TB1"/>
    <w:basedOn w:val="Normal"/>
    <w:next w:val="PR1"/>
    <w:rsid w:val="008A1EAF"/>
    <w:pPr>
      <w:suppressAutoHyphens/>
      <w:spacing w:before="240"/>
      <w:ind w:left="288"/>
      <w:jc w:val="both"/>
    </w:pPr>
  </w:style>
  <w:style w:type="paragraph" w:customStyle="1" w:styleId="TB2">
    <w:name w:val="TB2"/>
    <w:basedOn w:val="Normal"/>
    <w:next w:val="PR2"/>
    <w:rsid w:val="008A1EAF"/>
    <w:pPr>
      <w:suppressAutoHyphens/>
      <w:spacing w:before="240"/>
      <w:ind w:left="864"/>
      <w:jc w:val="both"/>
    </w:pPr>
  </w:style>
  <w:style w:type="paragraph" w:customStyle="1" w:styleId="TB3">
    <w:name w:val="TB3"/>
    <w:basedOn w:val="Normal"/>
    <w:next w:val="PR3"/>
    <w:rsid w:val="008A1EAF"/>
    <w:pPr>
      <w:suppressAutoHyphens/>
      <w:spacing w:before="240"/>
      <w:ind w:left="1440"/>
      <w:jc w:val="both"/>
    </w:pPr>
  </w:style>
  <w:style w:type="paragraph" w:customStyle="1" w:styleId="TB4">
    <w:name w:val="TB4"/>
    <w:basedOn w:val="Normal"/>
    <w:next w:val="PR4"/>
    <w:rsid w:val="008A1EAF"/>
    <w:pPr>
      <w:suppressAutoHyphens/>
      <w:spacing w:before="240"/>
      <w:ind w:left="2016"/>
      <w:jc w:val="both"/>
    </w:pPr>
  </w:style>
  <w:style w:type="paragraph" w:customStyle="1" w:styleId="TB5">
    <w:name w:val="TB5"/>
    <w:basedOn w:val="Normal"/>
    <w:next w:val="PR5"/>
    <w:rsid w:val="008A1EAF"/>
    <w:pPr>
      <w:suppressAutoHyphens/>
      <w:spacing w:before="240"/>
      <w:ind w:left="2592"/>
      <w:jc w:val="both"/>
    </w:pPr>
  </w:style>
  <w:style w:type="paragraph" w:customStyle="1" w:styleId="TF1">
    <w:name w:val="TF1"/>
    <w:basedOn w:val="Normal"/>
    <w:next w:val="TB1"/>
    <w:rsid w:val="008A1EAF"/>
    <w:pPr>
      <w:suppressAutoHyphens/>
      <w:spacing w:before="240"/>
      <w:ind w:left="288"/>
      <w:jc w:val="both"/>
    </w:pPr>
  </w:style>
  <w:style w:type="paragraph" w:customStyle="1" w:styleId="TF2">
    <w:name w:val="TF2"/>
    <w:basedOn w:val="Normal"/>
    <w:next w:val="TB2"/>
    <w:rsid w:val="008A1EAF"/>
    <w:pPr>
      <w:suppressAutoHyphens/>
      <w:spacing w:before="240"/>
      <w:ind w:left="864"/>
      <w:jc w:val="both"/>
    </w:pPr>
  </w:style>
  <w:style w:type="paragraph" w:customStyle="1" w:styleId="TF3">
    <w:name w:val="TF3"/>
    <w:basedOn w:val="Normal"/>
    <w:next w:val="TB3"/>
    <w:rsid w:val="008A1EAF"/>
    <w:pPr>
      <w:suppressAutoHyphens/>
      <w:spacing w:before="240"/>
      <w:ind w:left="1440"/>
      <w:jc w:val="both"/>
    </w:pPr>
  </w:style>
  <w:style w:type="paragraph" w:customStyle="1" w:styleId="TF4">
    <w:name w:val="TF4"/>
    <w:basedOn w:val="Normal"/>
    <w:next w:val="TB4"/>
    <w:rsid w:val="008A1EAF"/>
    <w:pPr>
      <w:suppressAutoHyphens/>
      <w:spacing w:before="240"/>
      <w:ind w:left="2016"/>
      <w:jc w:val="both"/>
    </w:pPr>
  </w:style>
  <w:style w:type="paragraph" w:customStyle="1" w:styleId="TF5">
    <w:name w:val="TF5"/>
    <w:basedOn w:val="Normal"/>
    <w:next w:val="TB5"/>
    <w:rsid w:val="008A1EAF"/>
    <w:pPr>
      <w:suppressAutoHyphens/>
      <w:spacing w:before="240"/>
      <w:ind w:left="2592"/>
      <w:jc w:val="both"/>
    </w:pPr>
  </w:style>
  <w:style w:type="paragraph" w:customStyle="1" w:styleId="TCH">
    <w:name w:val="TCH"/>
    <w:basedOn w:val="Normal"/>
    <w:rsid w:val="008A1EAF"/>
    <w:pPr>
      <w:suppressAutoHyphens/>
    </w:pPr>
  </w:style>
  <w:style w:type="paragraph" w:customStyle="1" w:styleId="TCE">
    <w:name w:val="TCE"/>
    <w:basedOn w:val="Normal"/>
    <w:rsid w:val="008A1EAF"/>
    <w:pPr>
      <w:suppressAutoHyphens/>
      <w:ind w:left="144" w:hanging="144"/>
    </w:pPr>
  </w:style>
  <w:style w:type="paragraph" w:customStyle="1" w:styleId="EOS">
    <w:name w:val="EOS"/>
    <w:basedOn w:val="Normal"/>
    <w:rsid w:val="008A1EAF"/>
    <w:pPr>
      <w:suppressAutoHyphens/>
      <w:spacing w:before="480"/>
      <w:jc w:val="center"/>
    </w:pPr>
    <w:rPr>
      <w:b/>
    </w:rPr>
  </w:style>
  <w:style w:type="paragraph" w:customStyle="1" w:styleId="ANT">
    <w:name w:val="ANT"/>
    <w:basedOn w:val="Normal"/>
    <w:rsid w:val="008A1EAF"/>
    <w:pPr>
      <w:suppressAutoHyphens/>
      <w:spacing w:before="240"/>
      <w:jc w:val="both"/>
    </w:pPr>
    <w:rPr>
      <w:vanish/>
      <w:color w:val="800080"/>
      <w:u w:val="single"/>
    </w:rPr>
  </w:style>
  <w:style w:type="paragraph" w:customStyle="1" w:styleId="CMT">
    <w:name w:val="CMT"/>
    <w:basedOn w:val="Normal"/>
    <w:rsid w:val="008A1EAF"/>
    <w:pPr>
      <w:suppressAutoHyphens/>
      <w:spacing w:before="240"/>
      <w:jc w:val="both"/>
    </w:pPr>
    <w:rPr>
      <w:vanish/>
      <w:color w:val="0000FF"/>
    </w:rPr>
  </w:style>
  <w:style w:type="character" w:customStyle="1" w:styleId="CPR">
    <w:name w:val="CPR"/>
    <w:basedOn w:val="DefaultParagraphFont"/>
    <w:rsid w:val="008A1EAF"/>
  </w:style>
  <w:style w:type="character" w:customStyle="1" w:styleId="SPN">
    <w:name w:val="SPN"/>
    <w:basedOn w:val="DefaultParagraphFont"/>
    <w:rsid w:val="008A1EAF"/>
  </w:style>
  <w:style w:type="character" w:customStyle="1" w:styleId="SPD">
    <w:name w:val="SPD"/>
    <w:basedOn w:val="DefaultParagraphFont"/>
    <w:rsid w:val="008A1EAF"/>
  </w:style>
  <w:style w:type="character" w:customStyle="1" w:styleId="NUM">
    <w:name w:val="NUM"/>
    <w:basedOn w:val="DefaultParagraphFont"/>
    <w:rsid w:val="008A1EAF"/>
  </w:style>
  <w:style w:type="paragraph" w:customStyle="1" w:styleId="PR6">
    <w:name w:val="PR6"/>
    <w:basedOn w:val="PR1"/>
    <w:rsid w:val="001C644E"/>
    <w:pPr>
      <w:numPr>
        <w:ilvl w:val="7"/>
      </w:numPr>
      <w:tabs>
        <w:tab w:val="left" w:pos="3744"/>
      </w:tabs>
      <w:spacing w:before="0"/>
      <w:outlineLvl w:val="7"/>
    </w:pPr>
  </w:style>
  <w:style w:type="character" w:customStyle="1" w:styleId="SI">
    <w:name w:val="SI"/>
    <w:basedOn w:val="DefaultParagraphFont"/>
    <w:rsid w:val="008A1EAF"/>
    <w:rPr>
      <w:color w:val="auto"/>
    </w:rPr>
  </w:style>
  <w:style w:type="character" w:customStyle="1" w:styleId="IP">
    <w:name w:val="IP"/>
    <w:basedOn w:val="DefaultParagraphFont"/>
    <w:rsid w:val="008A1EAF"/>
    <w:rPr>
      <w:color w:val="0000FF"/>
    </w:rPr>
  </w:style>
  <w:style w:type="paragraph" w:styleId="Header">
    <w:name w:val="header"/>
    <w:basedOn w:val="Normal"/>
    <w:rsid w:val="008A1EAF"/>
    <w:pPr>
      <w:tabs>
        <w:tab w:val="center" w:pos="4320"/>
        <w:tab w:val="right" w:pos="8640"/>
      </w:tabs>
    </w:pPr>
  </w:style>
  <w:style w:type="paragraph" w:styleId="Footer">
    <w:name w:val="footer"/>
    <w:basedOn w:val="Normal"/>
    <w:link w:val="FooterChar"/>
    <w:rsid w:val="008A1EAF"/>
    <w:pPr>
      <w:tabs>
        <w:tab w:val="center" w:pos="4320"/>
        <w:tab w:val="right" w:pos="8640"/>
      </w:tabs>
    </w:pPr>
  </w:style>
  <w:style w:type="character" w:styleId="PageNumber">
    <w:name w:val="page number"/>
    <w:basedOn w:val="DefaultParagraphFont"/>
    <w:rsid w:val="008A1EAF"/>
  </w:style>
  <w:style w:type="paragraph" w:customStyle="1" w:styleId="NAM">
    <w:name w:val="NAM"/>
    <w:basedOn w:val="Normal"/>
    <w:rsid w:val="008A1EAF"/>
    <w:pPr>
      <w:jc w:val="center"/>
    </w:pPr>
    <w:rPr>
      <w:b/>
      <w:caps/>
    </w:rPr>
  </w:style>
  <w:style w:type="paragraph" w:customStyle="1" w:styleId="NAMFT">
    <w:name w:val="NAMFT"/>
    <w:basedOn w:val="NAM"/>
    <w:rsid w:val="008A1EAF"/>
    <w:pPr>
      <w:pBdr>
        <w:top w:val="single" w:sz="4" w:space="1" w:color="auto"/>
      </w:pBdr>
      <w:tabs>
        <w:tab w:val="right" w:pos="9360"/>
      </w:tabs>
    </w:pPr>
    <w:rPr>
      <w:b w:val="0"/>
    </w:rPr>
  </w:style>
  <w:style w:type="paragraph" w:customStyle="1" w:styleId="NOT">
    <w:name w:val="NOT"/>
    <w:basedOn w:val="Normal"/>
    <w:rsid w:val="008A1EAF"/>
    <w:pPr>
      <w:pBdr>
        <w:top w:val="dashDotStroked" w:sz="24" w:space="1" w:color="auto"/>
        <w:bottom w:val="dashDotStroked" w:sz="24" w:space="1" w:color="auto"/>
      </w:pBdr>
      <w:shd w:val="clear" w:color="auto" w:fill="FFCC00"/>
      <w:suppressAutoHyphens/>
    </w:pPr>
    <w:rPr>
      <w:b/>
      <w:smallCaps/>
      <w:vanish/>
    </w:rPr>
  </w:style>
  <w:style w:type="paragraph" w:customStyle="1" w:styleId="PR7">
    <w:name w:val="PR7"/>
    <w:basedOn w:val="PR6"/>
    <w:rsid w:val="001C644E"/>
    <w:pPr>
      <w:numPr>
        <w:ilvl w:val="8"/>
      </w:numPr>
      <w:tabs>
        <w:tab w:val="left" w:pos="4464"/>
      </w:tabs>
    </w:pPr>
  </w:style>
  <w:style w:type="paragraph" w:customStyle="1" w:styleId="TBL">
    <w:name w:val="TBL"/>
    <w:rsid w:val="002D6344"/>
    <w:pPr>
      <w:spacing w:before="120" w:after="120"/>
      <w:jc w:val="center"/>
    </w:pPr>
    <w:rPr>
      <w:rFonts w:ascii="Arial" w:hAnsi="Arial"/>
      <w:b/>
    </w:rPr>
  </w:style>
  <w:style w:type="paragraph" w:customStyle="1" w:styleId="OmniPage1">
    <w:name w:val="OmniPage #1"/>
    <w:basedOn w:val="Normal"/>
    <w:rsid w:val="008A1EAF"/>
    <w:pPr>
      <w:tabs>
        <w:tab w:val="left" w:pos="5790"/>
        <w:tab w:val="right" w:pos="10303"/>
      </w:tabs>
      <w:ind w:left="1155"/>
    </w:pPr>
    <w:rPr>
      <w:rFonts w:ascii="Times New Roman" w:hAnsi="Times New Roman"/>
    </w:rPr>
  </w:style>
  <w:style w:type="paragraph" w:customStyle="1" w:styleId="OmniPage5">
    <w:name w:val="OmniPage #5"/>
    <w:basedOn w:val="Normal"/>
    <w:rsid w:val="008A1EAF"/>
    <w:pPr>
      <w:tabs>
        <w:tab w:val="left" w:pos="125"/>
        <w:tab w:val="left" w:pos="175"/>
        <w:tab w:val="right" w:pos="5008"/>
      </w:tabs>
      <w:ind w:left="1170"/>
    </w:pPr>
    <w:rPr>
      <w:rFonts w:ascii="Times New Roman" w:hAnsi="Times New Roman"/>
    </w:rPr>
  </w:style>
  <w:style w:type="paragraph" w:customStyle="1" w:styleId="OmniPage7">
    <w:name w:val="OmniPage #7"/>
    <w:basedOn w:val="Normal"/>
    <w:rsid w:val="008A1EAF"/>
    <w:pPr>
      <w:tabs>
        <w:tab w:val="right" w:pos="9628"/>
      </w:tabs>
      <w:ind w:left="2880"/>
    </w:pPr>
    <w:rPr>
      <w:rFonts w:ascii="Times New Roman" w:hAnsi="Times New Roman"/>
    </w:rPr>
  </w:style>
  <w:style w:type="paragraph" w:customStyle="1" w:styleId="OmniPage2051">
    <w:name w:val="OmniPage #2051"/>
    <w:basedOn w:val="Normal"/>
    <w:rsid w:val="008A1EAF"/>
    <w:pPr>
      <w:tabs>
        <w:tab w:val="right" w:pos="7627"/>
      </w:tabs>
      <w:ind w:left="4035"/>
    </w:pPr>
    <w:rPr>
      <w:rFonts w:ascii="Times New Roman" w:hAnsi="Times New Roman"/>
    </w:rPr>
  </w:style>
  <w:style w:type="paragraph" w:customStyle="1" w:styleId="OmniPage2052">
    <w:name w:val="OmniPage #2052"/>
    <w:basedOn w:val="Normal"/>
    <w:rsid w:val="008A1EAF"/>
    <w:pPr>
      <w:tabs>
        <w:tab w:val="left" w:pos="110"/>
        <w:tab w:val="right" w:pos="2932"/>
      </w:tabs>
      <w:ind w:left="1155"/>
    </w:pPr>
    <w:rPr>
      <w:rFonts w:ascii="Times New Roman" w:hAnsi="Times New Roman"/>
    </w:rPr>
  </w:style>
  <w:style w:type="paragraph" w:customStyle="1" w:styleId="OmniPage2061">
    <w:name w:val="OmniPage #2061"/>
    <w:basedOn w:val="Normal"/>
    <w:rsid w:val="008A1EAF"/>
    <w:pPr>
      <w:tabs>
        <w:tab w:val="right" w:pos="4372"/>
      </w:tabs>
      <w:ind w:left="1095"/>
    </w:pPr>
    <w:rPr>
      <w:rFonts w:ascii="Times New Roman" w:hAnsi="Times New Roman"/>
    </w:rPr>
  </w:style>
  <w:style w:type="paragraph" w:customStyle="1" w:styleId="OmniPage2062">
    <w:name w:val="OmniPage #2062"/>
    <w:basedOn w:val="Normal"/>
    <w:rsid w:val="008A1EAF"/>
    <w:pPr>
      <w:tabs>
        <w:tab w:val="right" w:pos="3307"/>
      </w:tabs>
      <w:ind w:left="1095"/>
    </w:pPr>
    <w:rPr>
      <w:rFonts w:ascii="Times New Roman" w:hAnsi="Times New Roman"/>
    </w:rPr>
  </w:style>
  <w:style w:type="paragraph" w:customStyle="1" w:styleId="OmniPage2564">
    <w:name w:val="OmniPage #2564"/>
    <w:basedOn w:val="Normal"/>
    <w:rsid w:val="008A1EAF"/>
    <w:pPr>
      <w:tabs>
        <w:tab w:val="left" w:pos="50"/>
        <w:tab w:val="left" w:pos="100"/>
        <w:tab w:val="left" w:pos="2970"/>
        <w:tab w:val="right" w:pos="9654"/>
      </w:tabs>
      <w:ind w:left="1155"/>
    </w:pPr>
    <w:rPr>
      <w:rFonts w:ascii="Times New Roman" w:hAnsi="Times New Roman"/>
    </w:rPr>
  </w:style>
  <w:style w:type="paragraph" w:styleId="BodyTextIndent3">
    <w:name w:val="Body Text Indent 3"/>
    <w:basedOn w:val="Normal"/>
    <w:rsid w:val="008A1EAF"/>
    <w:pPr>
      <w:tabs>
        <w:tab w:val="left" w:pos="1080"/>
      </w:tabs>
      <w:ind w:left="720"/>
      <w:jc w:val="both"/>
    </w:pPr>
    <w:rPr>
      <w:snapToGrid w:val="0"/>
    </w:rPr>
  </w:style>
  <w:style w:type="character" w:customStyle="1" w:styleId="SCTChar">
    <w:name w:val="SCT Char"/>
    <w:basedOn w:val="DefaultParagraphFont"/>
    <w:link w:val="SCT"/>
    <w:rsid w:val="00C4480F"/>
    <w:rPr>
      <w:rFonts w:ascii="Arial" w:hAnsi="Arial"/>
      <w:b/>
      <w:lang w:val="en-US" w:eastAsia="en-US" w:bidi="ar-SA"/>
    </w:rPr>
  </w:style>
  <w:style w:type="paragraph" w:customStyle="1" w:styleId="FIG">
    <w:name w:val="FIG"/>
    <w:qFormat/>
    <w:rsid w:val="002D6344"/>
    <w:pPr>
      <w:numPr>
        <w:numId w:val="2"/>
      </w:numPr>
    </w:pPr>
    <w:rPr>
      <w:rFonts w:ascii="Arial" w:hAnsi="Arial"/>
      <w:b/>
    </w:rPr>
  </w:style>
  <w:style w:type="paragraph" w:customStyle="1" w:styleId="Part">
    <w:name w:val="Part"/>
    <w:basedOn w:val="ART"/>
    <w:rsid w:val="002F29DD"/>
  </w:style>
  <w:style w:type="character" w:customStyle="1" w:styleId="Heading1Char">
    <w:name w:val="Heading 1 Char"/>
    <w:basedOn w:val="DefaultParagraphFont"/>
    <w:link w:val="Heading1"/>
    <w:locked/>
    <w:rsid w:val="002F29DD"/>
    <w:rPr>
      <w:rFonts w:ascii="Arial" w:eastAsia="Batang" w:hAnsi="Arial" w:cs="Arial"/>
      <w:b/>
      <w:bCs/>
      <w:kern w:val="32"/>
      <w:sz w:val="32"/>
      <w:szCs w:val="32"/>
      <w:lang w:val="en-US" w:eastAsia="en-US" w:bidi="ar-SA"/>
    </w:rPr>
  </w:style>
  <w:style w:type="paragraph" w:styleId="TOC1">
    <w:name w:val="toc 1"/>
    <w:basedOn w:val="Normal"/>
    <w:next w:val="Normal"/>
    <w:autoRedefine/>
    <w:uiPriority w:val="39"/>
    <w:rsid w:val="002F29DD"/>
    <w:rPr>
      <w:rFonts w:ascii="Times New Roman" w:hAnsi="Times New Roman"/>
      <w:sz w:val="24"/>
      <w:szCs w:val="24"/>
    </w:rPr>
  </w:style>
  <w:style w:type="paragraph" w:styleId="TOC2">
    <w:name w:val="toc 2"/>
    <w:basedOn w:val="Normal"/>
    <w:next w:val="Normal"/>
    <w:autoRedefine/>
    <w:uiPriority w:val="39"/>
    <w:rsid w:val="002F29DD"/>
    <w:pPr>
      <w:ind w:left="240"/>
    </w:pPr>
    <w:rPr>
      <w:rFonts w:ascii="Times New Roman" w:hAnsi="Times New Roman"/>
      <w:sz w:val="24"/>
      <w:szCs w:val="24"/>
    </w:rPr>
  </w:style>
  <w:style w:type="character" w:styleId="Hyperlink">
    <w:name w:val="Hyperlink"/>
    <w:basedOn w:val="DefaultParagraphFont"/>
    <w:uiPriority w:val="99"/>
    <w:rsid w:val="002F29DD"/>
    <w:rPr>
      <w:rFonts w:cs="Times New Roman"/>
      <w:color w:val="0000FF"/>
      <w:u w:val="single"/>
    </w:rPr>
  </w:style>
  <w:style w:type="character" w:customStyle="1" w:styleId="FooterChar">
    <w:name w:val="Footer Char"/>
    <w:basedOn w:val="DefaultParagraphFont"/>
    <w:link w:val="Footer"/>
    <w:semiHidden/>
    <w:locked/>
    <w:rsid w:val="002F29DD"/>
    <w:rPr>
      <w:rFonts w:ascii="Arial" w:hAnsi="Arial"/>
      <w:lang w:val="en-US" w:eastAsia="en-US" w:bidi="ar-SA"/>
    </w:rPr>
  </w:style>
  <w:style w:type="paragraph" w:styleId="TableofFigures">
    <w:name w:val="table of figures"/>
    <w:basedOn w:val="Normal"/>
    <w:next w:val="Normal"/>
    <w:uiPriority w:val="99"/>
    <w:rsid w:val="002F29DD"/>
    <w:rPr>
      <w:rFonts w:ascii="Times New Roman" w:hAnsi="Times New Roman"/>
      <w:sz w:val="24"/>
      <w:szCs w:val="24"/>
    </w:rPr>
  </w:style>
  <w:style w:type="paragraph" w:styleId="CommentText">
    <w:name w:val="annotation text"/>
    <w:basedOn w:val="Normal"/>
    <w:semiHidden/>
    <w:rsid w:val="002F29DD"/>
  </w:style>
  <w:style w:type="paragraph" w:styleId="CommentSubject">
    <w:name w:val="annotation subject"/>
    <w:basedOn w:val="CommentText"/>
    <w:next w:val="CommentText"/>
    <w:link w:val="CommentSubjectChar"/>
    <w:semiHidden/>
    <w:rsid w:val="002F29DD"/>
    <w:rPr>
      <w:rFonts w:ascii="Times New Roman" w:hAnsi="Times New Roman"/>
      <w:b/>
      <w:bCs/>
    </w:rPr>
  </w:style>
  <w:style w:type="character" w:customStyle="1" w:styleId="CommentSubjectChar">
    <w:name w:val="Comment Subject Char"/>
    <w:basedOn w:val="DefaultParagraphFont"/>
    <w:link w:val="CommentSubject"/>
    <w:semiHidden/>
    <w:locked/>
    <w:rsid w:val="002F29DD"/>
    <w:rPr>
      <w:rFonts w:eastAsia="Batang"/>
      <w:b/>
      <w:bCs/>
      <w:lang w:val="en-US" w:eastAsia="en-US" w:bidi="ar-SA"/>
    </w:rPr>
  </w:style>
  <w:style w:type="paragraph" w:customStyle="1" w:styleId="NormalBold">
    <w:name w:val="Normal Bold"/>
    <w:basedOn w:val="Normal"/>
    <w:rsid w:val="002F29DD"/>
    <w:pPr>
      <w:spacing w:after="60"/>
      <w:jc w:val="both"/>
    </w:pPr>
    <w:rPr>
      <w:rFonts w:ascii="Times New Roman" w:hAnsi="Times New Roman"/>
      <w:b/>
      <w:sz w:val="24"/>
      <w:szCs w:val="24"/>
    </w:rPr>
  </w:style>
  <w:style w:type="paragraph" w:customStyle="1" w:styleId="Style3">
    <w:name w:val="Style3"/>
    <w:basedOn w:val="Normal"/>
    <w:rsid w:val="002F29DD"/>
    <w:pPr>
      <w:numPr>
        <w:numId w:val="3"/>
      </w:numPr>
    </w:pPr>
    <w:rPr>
      <w:rFonts w:cs="Arial"/>
      <w:sz w:val="24"/>
      <w:szCs w:val="24"/>
    </w:rPr>
  </w:style>
  <w:style w:type="paragraph" w:customStyle="1" w:styleId="Normal1">
    <w:name w:val="Normal1"/>
    <w:basedOn w:val="Normal"/>
    <w:rsid w:val="002F29DD"/>
    <w:pPr>
      <w:overflowPunct w:val="0"/>
      <w:autoSpaceDE w:val="0"/>
      <w:autoSpaceDN w:val="0"/>
      <w:adjustRightInd w:val="0"/>
      <w:spacing w:after="120" w:line="360" w:lineRule="atLeast"/>
      <w:textAlignment w:val="baseline"/>
    </w:pPr>
    <w:rPr>
      <w:rFonts w:ascii="Times New Roman" w:hAnsi="Times New Roman"/>
      <w:sz w:val="22"/>
    </w:rPr>
  </w:style>
  <w:style w:type="paragraph" w:customStyle="1" w:styleId="Pref">
    <w:name w:val="Pref"/>
    <w:basedOn w:val="Normal"/>
    <w:next w:val="Normal"/>
    <w:rsid w:val="002F29DD"/>
    <w:pPr>
      <w:keepNext/>
      <w:spacing w:before="240" w:after="360"/>
      <w:jc w:val="both"/>
      <w:outlineLvl w:val="0"/>
    </w:pPr>
    <w:rPr>
      <w:rFonts w:cs="Arial"/>
      <w:bCs/>
      <w:kern w:val="32"/>
      <w:sz w:val="32"/>
      <w:szCs w:val="32"/>
    </w:rPr>
  </w:style>
  <w:style w:type="table" w:styleId="TableGrid">
    <w:name w:val="Table Grid"/>
    <w:basedOn w:val="TableNormal"/>
    <w:rsid w:val="001C64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
    <w:name w:val="SEC"/>
    <w:basedOn w:val="Normal"/>
    <w:next w:val="Normal"/>
    <w:link w:val="SECCharChar"/>
    <w:rsid w:val="001C644E"/>
    <w:pPr>
      <w:numPr>
        <w:ilvl w:val="1"/>
        <w:numId w:val="5"/>
      </w:numPr>
      <w:suppressAutoHyphens/>
      <w:spacing w:before="240"/>
    </w:pPr>
    <w:rPr>
      <w:b/>
      <w:sz w:val="28"/>
    </w:rPr>
  </w:style>
  <w:style w:type="character" w:customStyle="1" w:styleId="SECCharChar">
    <w:name w:val="SEC Char Char"/>
    <w:basedOn w:val="DefaultParagraphFont"/>
    <w:link w:val="SEC"/>
    <w:rsid w:val="001C644E"/>
    <w:rPr>
      <w:rFonts w:ascii="Arial" w:hAnsi="Arial"/>
      <w:b/>
      <w:sz w:val="28"/>
    </w:rPr>
  </w:style>
  <w:style w:type="paragraph" w:customStyle="1" w:styleId="PAR1">
    <w:name w:val="PAR1"/>
    <w:basedOn w:val="Normal"/>
    <w:next w:val="Normal"/>
    <w:rsid w:val="001C644E"/>
    <w:pPr>
      <w:numPr>
        <w:ilvl w:val="1"/>
        <w:numId w:val="4"/>
      </w:numPr>
      <w:spacing w:before="240" w:after="60"/>
    </w:pPr>
    <w:rPr>
      <w:b/>
      <w:i/>
      <w:sz w:val="28"/>
      <w:szCs w:val="24"/>
    </w:rPr>
  </w:style>
  <w:style w:type="paragraph" w:customStyle="1" w:styleId="Appx">
    <w:name w:val="Appx"/>
    <w:basedOn w:val="Heading1"/>
    <w:rsid w:val="001C644E"/>
  </w:style>
  <w:style w:type="paragraph" w:customStyle="1" w:styleId="WPSCT">
    <w:name w:val="WPSCT"/>
    <w:basedOn w:val="PRT"/>
    <w:next w:val="ART"/>
    <w:qFormat/>
    <w:rsid w:val="001C644E"/>
    <w:pPr>
      <w:numPr>
        <w:numId w:val="1"/>
      </w:numPr>
    </w:pPr>
  </w:style>
  <w:style w:type="paragraph" w:customStyle="1" w:styleId="WPART">
    <w:name w:val="WPART"/>
    <w:basedOn w:val="ART"/>
    <w:rsid w:val="001C644E"/>
  </w:style>
  <w:style w:type="paragraph" w:customStyle="1" w:styleId="WPPR1">
    <w:name w:val="WPPR1"/>
    <w:basedOn w:val="PR1"/>
    <w:qFormat/>
    <w:rsid w:val="001C644E"/>
  </w:style>
  <w:style w:type="paragraph" w:customStyle="1" w:styleId="WPPR2">
    <w:name w:val="WPPR2"/>
    <w:basedOn w:val="PR2"/>
    <w:qFormat/>
    <w:rsid w:val="001C644E"/>
  </w:style>
  <w:style w:type="paragraph" w:customStyle="1" w:styleId="WPPR3">
    <w:name w:val="WPPR3"/>
    <w:basedOn w:val="PR3"/>
    <w:qFormat/>
    <w:rsid w:val="001C644E"/>
  </w:style>
  <w:style w:type="paragraph" w:customStyle="1" w:styleId="WPPR4">
    <w:name w:val="WPPR4"/>
    <w:basedOn w:val="PR4"/>
    <w:rsid w:val="001C644E"/>
  </w:style>
  <w:style w:type="paragraph" w:customStyle="1" w:styleId="WPPR5">
    <w:name w:val="WPPR5"/>
    <w:basedOn w:val="PR5"/>
    <w:rsid w:val="001C644E"/>
  </w:style>
  <w:style w:type="paragraph" w:customStyle="1" w:styleId="WPPR6">
    <w:name w:val="WPPR6"/>
    <w:basedOn w:val="PR6"/>
    <w:rsid w:val="001C644E"/>
  </w:style>
  <w:style w:type="paragraph" w:customStyle="1" w:styleId="WPID">
    <w:name w:val="WPID"/>
    <w:basedOn w:val="Normal"/>
    <w:rsid w:val="000D07B1"/>
    <w:pPr>
      <w:jc w:val="right"/>
    </w:pPr>
    <w:rPr>
      <w:rFonts w:cs="Arial"/>
      <w:b/>
      <w:sz w:val="48"/>
      <w:szCs w:val="48"/>
    </w:rPr>
  </w:style>
  <w:style w:type="paragraph" w:styleId="BalloonText">
    <w:name w:val="Balloon Text"/>
    <w:basedOn w:val="Normal"/>
    <w:link w:val="BalloonTextChar"/>
    <w:rsid w:val="00C96F1A"/>
    <w:rPr>
      <w:rFonts w:ascii="Tahoma" w:hAnsi="Tahoma" w:cs="Tahoma"/>
      <w:sz w:val="16"/>
      <w:szCs w:val="16"/>
    </w:rPr>
  </w:style>
  <w:style w:type="character" w:customStyle="1" w:styleId="BalloonTextChar">
    <w:name w:val="Balloon Text Char"/>
    <w:basedOn w:val="DefaultParagraphFont"/>
    <w:link w:val="BalloonText"/>
    <w:rsid w:val="00C96F1A"/>
    <w:rPr>
      <w:rFonts w:ascii="Tahoma" w:hAnsi="Tahoma" w:cs="Tahoma"/>
      <w:sz w:val="16"/>
      <w:szCs w:val="16"/>
    </w:rPr>
  </w:style>
  <w:style w:type="paragraph" w:customStyle="1" w:styleId="Normal10">
    <w:name w:val="Normal1"/>
    <w:basedOn w:val="Normal"/>
    <w:rsid w:val="001C538E"/>
    <w:pPr>
      <w:overflowPunct w:val="0"/>
      <w:autoSpaceDE w:val="0"/>
      <w:autoSpaceDN w:val="0"/>
      <w:adjustRightInd w:val="0"/>
      <w:spacing w:after="120" w:line="360" w:lineRule="atLeast"/>
      <w:textAlignment w:val="baseline"/>
    </w:pPr>
    <w:rPr>
      <w:rFonts w:ascii="Times New Roman" w:hAnsi="Times New Roman"/>
      <w:sz w:val="22"/>
    </w:rPr>
  </w:style>
  <w:style w:type="paragraph" w:customStyle="1" w:styleId="Vertical">
    <w:name w:val="Vertical"/>
    <w:basedOn w:val="Normal10"/>
    <w:qFormat/>
    <w:rsid w:val="001C538E"/>
    <w:pPr>
      <w:spacing w:line="240" w:lineRule="auto"/>
      <w:jc w:val="center"/>
    </w:pPr>
    <w:rPr>
      <w:rFonts w:ascii="Arial" w:eastAsia="Times New Roman" w:hAnsi="Arial"/>
      <w:sz w:val="20"/>
    </w:rPr>
  </w:style>
  <w:style w:type="paragraph" w:styleId="EndnoteText">
    <w:name w:val="endnote text"/>
    <w:basedOn w:val="Normal"/>
    <w:link w:val="EndnoteTextChar"/>
    <w:rsid w:val="001C538E"/>
  </w:style>
  <w:style w:type="character" w:customStyle="1" w:styleId="EndnoteTextChar">
    <w:name w:val="Endnote Text Char"/>
    <w:basedOn w:val="DefaultParagraphFont"/>
    <w:link w:val="EndnoteText"/>
    <w:rsid w:val="001C538E"/>
    <w:rPr>
      <w:rFonts w:ascii="Arial" w:hAnsi="Arial"/>
    </w:rPr>
  </w:style>
  <w:style w:type="character" w:styleId="EndnoteReference">
    <w:name w:val="endnote reference"/>
    <w:basedOn w:val="DefaultParagraphFont"/>
    <w:rsid w:val="001C538E"/>
    <w:rPr>
      <w:vertAlign w:val="superscript"/>
    </w:rPr>
  </w:style>
  <w:style w:type="character" w:styleId="PlaceholderText">
    <w:name w:val="Placeholder Text"/>
    <w:basedOn w:val="DefaultParagraphFont"/>
    <w:uiPriority w:val="99"/>
    <w:semiHidden/>
    <w:rsid w:val="00942D51"/>
    <w:rPr>
      <w:color w:val="808080"/>
    </w:rPr>
  </w:style>
  <w:style w:type="paragraph" w:customStyle="1" w:styleId="Reminder">
    <w:name w:val="Reminder"/>
    <w:basedOn w:val="Normal"/>
    <w:link w:val="ReminderChar"/>
    <w:rsid w:val="00D92689"/>
    <w:pPr>
      <w:spacing w:before="40" w:after="40"/>
    </w:pPr>
    <w:rPr>
      <w:rFonts w:ascii="Trebuchet MS" w:eastAsia="Times New Roman" w:hAnsi="Trebuchet MS"/>
      <w:i/>
      <w:color w:val="FF0000"/>
      <w:sz w:val="24"/>
      <w:szCs w:val="24"/>
    </w:rPr>
  </w:style>
  <w:style w:type="character" w:customStyle="1" w:styleId="ReminderChar">
    <w:name w:val="Reminder Char"/>
    <w:basedOn w:val="DefaultParagraphFont"/>
    <w:link w:val="Reminder"/>
    <w:rsid w:val="00D92689"/>
    <w:rPr>
      <w:rFonts w:ascii="Trebuchet MS" w:eastAsia="Times New Roman" w:hAnsi="Trebuchet MS"/>
      <w:i/>
      <w:color w:val="FF0000"/>
      <w:sz w:val="24"/>
      <w:szCs w:val="24"/>
    </w:rPr>
  </w:style>
  <w:style w:type="character" w:styleId="FootnoteReference">
    <w:name w:val="footnote reference"/>
    <w:basedOn w:val="DefaultParagraphFont"/>
    <w:uiPriority w:val="99"/>
    <w:unhideWhenUsed/>
    <w:rsid w:val="00A73DD3"/>
    <w:rPr>
      <w:vertAlign w:val="superscript"/>
    </w:rPr>
  </w:style>
  <w:style w:type="paragraph" w:styleId="ListParagraph">
    <w:name w:val="List Paragraph"/>
    <w:basedOn w:val="Normal"/>
    <w:uiPriority w:val="34"/>
    <w:qFormat/>
    <w:rsid w:val="00900DA9"/>
    <w:pPr>
      <w:spacing w:after="200" w:line="276" w:lineRule="auto"/>
      <w:ind w:left="720"/>
      <w:contextualSpacing/>
    </w:pPr>
    <w:rPr>
      <w:rFonts w:ascii="Calibri" w:eastAsia="Calibri" w:hAnsi="Calibri"/>
      <w:sz w:val="22"/>
      <w:szCs w:val="22"/>
    </w:rPr>
  </w:style>
  <w:style w:type="character" w:styleId="FollowedHyperlink">
    <w:name w:val="FollowedHyperlink"/>
    <w:basedOn w:val="DefaultParagraphFont"/>
    <w:rsid w:val="00900DA9"/>
    <w:rPr>
      <w:color w:val="800080" w:themeColor="followedHyperlink"/>
      <w:u w:val="single"/>
    </w:rPr>
  </w:style>
  <w:style w:type="paragraph" w:styleId="NoSpacing">
    <w:name w:val="No Spacing"/>
    <w:uiPriority w:val="1"/>
    <w:qFormat/>
    <w:rsid w:val="00AD2624"/>
    <w:rPr>
      <w:rFonts w:ascii="Arial" w:hAnsi="Arial"/>
    </w:rPr>
  </w:style>
  <w:style w:type="character" w:styleId="Emphasis">
    <w:name w:val="Emphasis"/>
    <w:basedOn w:val="DefaultParagraphFont"/>
    <w:qFormat/>
    <w:rsid w:val="00AD2624"/>
    <w:rPr>
      <w:i/>
      <w:iCs/>
    </w:rPr>
  </w:style>
  <w:style w:type="paragraph" w:customStyle="1" w:styleId="Default">
    <w:name w:val="Default"/>
    <w:uiPriority w:val="99"/>
    <w:rsid w:val="00CD7ABE"/>
    <w:pPr>
      <w:autoSpaceDE w:val="0"/>
      <w:autoSpaceDN w:val="0"/>
      <w:adjustRightInd w:val="0"/>
    </w:pPr>
    <w:rPr>
      <w:rFonts w:ascii="DIN" w:eastAsia="Times New Roman" w:hAnsi="DIN" w:cs="DIN"/>
      <w:color w:val="000000"/>
      <w:sz w:val="24"/>
      <w:szCs w:val="24"/>
    </w:rPr>
  </w:style>
  <w:style w:type="paragraph" w:customStyle="1" w:styleId="Pa4">
    <w:name w:val="Pa4"/>
    <w:basedOn w:val="Default"/>
    <w:next w:val="Default"/>
    <w:uiPriority w:val="99"/>
    <w:rsid w:val="00CD7ABE"/>
    <w:pPr>
      <w:spacing w:line="201" w:lineRule="atLeast"/>
    </w:pPr>
    <w:rPr>
      <w:color w:val="auto"/>
    </w:rPr>
  </w:style>
  <w:style w:type="paragraph" w:styleId="Caption">
    <w:name w:val="caption"/>
    <w:basedOn w:val="Normal"/>
    <w:next w:val="Normal"/>
    <w:link w:val="CaptionChar"/>
    <w:uiPriority w:val="99"/>
    <w:qFormat/>
    <w:rsid w:val="001A3391"/>
    <w:pPr>
      <w:keepNext/>
      <w:spacing w:after="120"/>
      <w:jc w:val="center"/>
    </w:pPr>
    <w:rPr>
      <w:rFonts w:eastAsia="Times New Roman"/>
      <w:b/>
      <w:bCs/>
    </w:rPr>
  </w:style>
  <w:style w:type="character" w:customStyle="1" w:styleId="CaptionChar">
    <w:name w:val="Caption Char"/>
    <w:link w:val="Caption"/>
    <w:uiPriority w:val="99"/>
    <w:locked/>
    <w:rsid w:val="001A3391"/>
    <w:rPr>
      <w:rFonts w:ascii="Arial" w:eastAsia="Times New Roman" w:hAnsi="Arial"/>
      <w:b/>
      <w:bCs/>
    </w:rPr>
  </w:style>
  <w:style w:type="character" w:customStyle="1" w:styleId="breadcrumbs">
    <w:name w:val="breadcrumbs"/>
    <w:uiPriority w:val="99"/>
    <w:rsid w:val="00CD7ABE"/>
    <w:rPr>
      <w:rFonts w:cs="Times New Roman"/>
    </w:rPr>
  </w:style>
  <w:style w:type="character" w:styleId="Strong">
    <w:name w:val="Strong"/>
    <w:basedOn w:val="DefaultParagraphFont"/>
    <w:uiPriority w:val="99"/>
    <w:qFormat/>
    <w:rsid w:val="00004721"/>
    <w:rPr>
      <w:rFonts w:ascii="Arial" w:hAnsi="Arial" w:cs="Arial"/>
      <w:b/>
      <w:bCs/>
      <w:sz w:val="22"/>
      <w:szCs w:val="22"/>
    </w:rPr>
  </w:style>
  <w:style w:type="character" w:styleId="CommentReference">
    <w:name w:val="annotation reference"/>
    <w:basedOn w:val="DefaultParagraphFont"/>
    <w:rsid w:val="0083700D"/>
    <w:rPr>
      <w:sz w:val="16"/>
      <w:szCs w:val="16"/>
    </w:rPr>
  </w:style>
  <w:style w:type="paragraph" w:styleId="Revision">
    <w:name w:val="Revision"/>
    <w:hidden/>
    <w:uiPriority w:val="99"/>
    <w:semiHidden/>
    <w:rsid w:val="00F95963"/>
    <w:rPr>
      <w:rFonts w:ascii="Arial" w:hAnsi="Arial"/>
    </w:rPr>
  </w:style>
  <w:style w:type="paragraph" w:styleId="TOC3">
    <w:name w:val="toc 3"/>
    <w:basedOn w:val="Normal"/>
    <w:next w:val="Normal"/>
    <w:autoRedefine/>
    <w:uiPriority w:val="39"/>
    <w:rsid w:val="00E30C99"/>
    <w:pPr>
      <w:spacing w:after="100"/>
      <w:ind w:left="400"/>
    </w:pPr>
  </w:style>
  <w:style w:type="paragraph" w:styleId="TOC4">
    <w:name w:val="toc 4"/>
    <w:basedOn w:val="Normal"/>
    <w:next w:val="Normal"/>
    <w:autoRedefine/>
    <w:uiPriority w:val="39"/>
    <w:rsid w:val="00E30C99"/>
    <w:pPr>
      <w:spacing w:after="100"/>
      <w:ind w:left="600"/>
    </w:pPr>
  </w:style>
  <w:style w:type="paragraph" w:customStyle="1" w:styleId="LOT">
    <w:name w:val="LOT"/>
    <w:basedOn w:val="Caption"/>
    <w:link w:val="LOTChar"/>
    <w:qFormat/>
    <w:rsid w:val="001A3391"/>
  </w:style>
  <w:style w:type="character" w:customStyle="1" w:styleId="LOTChar">
    <w:name w:val="LOT Char"/>
    <w:basedOn w:val="CaptionChar"/>
    <w:link w:val="LOT"/>
    <w:rsid w:val="001A3391"/>
    <w:rPr>
      <w:rFonts w:ascii="Arial" w:eastAsia="Times New Roman" w:hAnsi="Arial"/>
      <w:b/>
      <w:bCs/>
    </w:rPr>
  </w:style>
  <w:style w:type="paragraph" w:styleId="TOAHeading">
    <w:name w:val="toa heading"/>
    <w:basedOn w:val="Normal"/>
    <w:next w:val="Normal"/>
    <w:rsid w:val="003322A7"/>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70069">
      <w:bodyDiv w:val="1"/>
      <w:marLeft w:val="0"/>
      <w:marRight w:val="0"/>
      <w:marTop w:val="0"/>
      <w:marBottom w:val="0"/>
      <w:divBdr>
        <w:top w:val="none" w:sz="0" w:space="0" w:color="auto"/>
        <w:left w:val="none" w:sz="0" w:space="0" w:color="auto"/>
        <w:bottom w:val="none" w:sz="0" w:space="0" w:color="auto"/>
        <w:right w:val="none" w:sz="0" w:space="0" w:color="auto"/>
      </w:divBdr>
    </w:div>
    <w:div w:id="78454340">
      <w:bodyDiv w:val="1"/>
      <w:marLeft w:val="0"/>
      <w:marRight w:val="0"/>
      <w:marTop w:val="0"/>
      <w:marBottom w:val="0"/>
      <w:divBdr>
        <w:top w:val="none" w:sz="0" w:space="0" w:color="auto"/>
        <w:left w:val="none" w:sz="0" w:space="0" w:color="auto"/>
        <w:bottom w:val="none" w:sz="0" w:space="0" w:color="auto"/>
        <w:right w:val="none" w:sz="0" w:space="0" w:color="auto"/>
      </w:divBdr>
    </w:div>
    <w:div w:id="91435315">
      <w:bodyDiv w:val="1"/>
      <w:marLeft w:val="0"/>
      <w:marRight w:val="0"/>
      <w:marTop w:val="0"/>
      <w:marBottom w:val="0"/>
      <w:divBdr>
        <w:top w:val="none" w:sz="0" w:space="0" w:color="auto"/>
        <w:left w:val="none" w:sz="0" w:space="0" w:color="auto"/>
        <w:bottom w:val="none" w:sz="0" w:space="0" w:color="auto"/>
        <w:right w:val="none" w:sz="0" w:space="0" w:color="auto"/>
      </w:divBdr>
    </w:div>
    <w:div w:id="334697555">
      <w:bodyDiv w:val="1"/>
      <w:marLeft w:val="0"/>
      <w:marRight w:val="0"/>
      <w:marTop w:val="0"/>
      <w:marBottom w:val="0"/>
      <w:divBdr>
        <w:top w:val="none" w:sz="0" w:space="0" w:color="auto"/>
        <w:left w:val="none" w:sz="0" w:space="0" w:color="auto"/>
        <w:bottom w:val="none" w:sz="0" w:space="0" w:color="auto"/>
        <w:right w:val="none" w:sz="0" w:space="0" w:color="auto"/>
      </w:divBdr>
    </w:div>
    <w:div w:id="399987885">
      <w:bodyDiv w:val="1"/>
      <w:marLeft w:val="0"/>
      <w:marRight w:val="0"/>
      <w:marTop w:val="0"/>
      <w:marBottom w:val="0"/>
      <w:divBdr>
        <w:top w:val="none" w:sz="0" w:space="0" w:color="auto"/>
        <w:left w:val="none" w:sz="0" w:space="0" w:color="auto"/>
        <w:bottom w:val="none" w:sz="0" w:space="0" w:color="auto"/>
        <w:right w:val="none" w:sz="0" w:space="0" w:color="auto"/>
      </w:divBdr>
    </w:div>
    <w:div w:id="563223804">
      <w:bodyDiv w:val="1"/>
      <w:marLeft w:val="0"/>
      <w:marRight w:val="0"/>
      <w:marTop w:val="0"/>
      <w:marBottom w:val="0"/>
      <w:divBdr>
        <w:top w:val="none" w:sz="0" w:space="0" w:color="auto"/>
        <w:left w:val="none" w:sz="0" w:space="0" w:color="auto"/>
        <w:bottom w:val="none" w:sz="0" w:space="0" w:color="auto"/>
        <w:right w:val="none" w:sz="0" w:space="0" w:color="auto"/>
      </w:divBdr>
    </w:div>
    <w:div w:id="576785054">
      <w:bodyDiv w:val="1"/>
      <w:marLeft w:val="0"/>
      <w:marRight w:val="0"/>
      <w:marTop w:val="0"/>
      <w:marBottom w:val="0"/>
      <w:divBdr>
        <w:top w:val="none" w:sz="0" w:space="0" w:color="auto"/>
        <w:left w:val="none" w:sz="0" w:space="0" w:color="auto"/>
        <w:bottom w:val="none" w:sz="0" w:space="0" w:color="auto"/>
        <w:right w:val="none" w:sz="0" w:space="0" w:color="auto"/>
      </w:divBdr>
    </w:div>
    <w:div w:id="588537769">
      <w:bodyDiv w:val="1"/>
      <w:marLeft w:val="0"/>
      <w:marRight w:val="0"/>
      <w:marTop w:val="0"/>
      <w:marBottom w:val="0"/>
      <w:divBdr>
        <w:top w:val="none" w:sz="0" w:space="0" w:color="auto"/>
        <w:left w:val="none" w:sz="0" w:space="0" w:color="auto"/>
        <w:bottom w:val="none" w:sz="0" w:space="0" w:color="auto"/>
        <w:right w:val="none" w:sz="0" w:space="0" w:color="auto"/>
      </w:divBdr>
    </w:div>
    <w:div w:id="598485316">
      <w:bodyDiv w:val="1"/>
      <w:marLeft w:val="0"/>
      <w:marRight w:val="0"/>
      <w:marTop w:val="0"/>
      <w:marBottom w:val="0"/>
      <w:divBdr>
        <w:top w:val="none" w:sz="0" w:space="0" w:color="auto"/>
        <w:left w:val="none" w:sz="0" w:space="0" w:color="auto"/>
        <w:bottom w:val="none" w:sz="0" w:space="0" w:color="auto"/>
        <w:right w:val="none" w:sz="0" w:space="0" w:color="auto"/>
      </w:divBdr>
    </w:div>
    <w:div w:id="675424980">
      <w:bodyDiv w:val="1"/>
      <w:marLeft w:val="0"/>
      <w:marRight w:val="0"/>
      <w:marTop w:val="0"/>
      <w:marBottom w:val="0"/>
      <w:divBdr>
        <w:top w:val="none" w:sz="0" w:space="0" w:color="auto"/>
        <w:left w:val="none" w:sz="0" w:space="0" w:color="auto"/>
        <w:bottom w:val="none" w:sz="0" w:space="0" w:color="auto"/>
        <w:right w:val="none" w:sz="0" w:space="0" w:color="auto"/>
      </w:divBdr>
    </w:div>
    <w:div w:id="760296059">
      <w:bodyDiv w:val="1"/>
      <w:marLeft w:val="0"/>
      <w:marRight w:val="0"/>
      <w:marTop w:val="0"/>
      <w:marBottom w:val="0"/>
      <w:divBdr>
        <w:top w:val="none" w:sz="0" w:space="0" w:color="auto"/>
        <w:left w:val="none" w:sz="0" w:space="0" w:color="auto"/>
        <w:bottom w:val="none" w:sz="0" w:space="0" w:color="auto"/>
        <w:right w:val="none" w:sz="0" w:space="0" w:color="auto"/>
      </w:divBdr>
    </w:div>
    <w:div w:id="924264736">
      <w:bodyDiv w:val="1"/>
      <w:marLeft w:val="0"/>
      <w:marRight w:val="0"/>
      <w:marTop w:val="0"/>
      <w:marBottom w:val="0"/>
      <w:divBdr>
        <w:top w:val="none" w:sz="0" w:space="0" w:color="auto"/>
        <w:left w:val="none" w:sz="0" w:space="0" w:color="auto"/>
        <w:bottom w:val="none" w:sz="0" w:space="0" w:color="auto"/>
        <w:right w:val="none" w:sz="0" w:space="0" w:color="auto"/>
      </w:divBdr>
    </w:div>
    <w:div w:id="968246106">
      <w:bodyDiv w:val="1"/>
      <w:marLeft w:val="0"/>
      <w:marRight w:val="0"/>
      <w:marTop w:val="0"/>
      <w:marBottom w:val="0"/>
      <w:divBdr>
        <w:top w:val="none" w:sz="0" w:space="0" w:color="auto"/>
        <w:left w:val="none" w:sz="0" w:space="0" w:color="auto"/>
        <w:bottom w:val="none" w:sz="0" w:space="0" w:color="auto"/>
        <w:right w:val="none" w:sz="0" w:space="0" w:color="auto"/>
      </w:divBdr>
    </w:div>
    <w:div w:id="1110011066">
      <w:bodyDiv w:val="1"/>
      <w:marLeft w:val="0"/>
      <w:marRight w:val="0"/>
      <w:marTop w:val="0"/>
      <w:marBottom w:val="0"/>
      <w:divBdr>
        <w:top w:val="none" w:sz="0" w:space="0" w:color="auto"/>
        <w:left w:val="none" w:sz="0" w:space="0" w:color="auto"/>
        <w:bottom w:val="none" w:sz="0" w:space="0" w:color="auto"/>
        <w:right w:val="none" w:sz="0" w:space="0" w:color="auto"/>
      </w:divBdr>
    </w:div>
    <w:div w:id="1178543288">
      <w:bodyDiv w:val="1"/>
      <w:marLeft w:val="0"/>
      <w:marRight w:val="0"/>
      <w:marTop w:val="0"/>
      <w:marBottom w:val="0"/>
      <w:divBdr>
        <w:top w:val="none" w:sz="0" w:space="0" w:color="auto"/>
        <w:left w:val="none" w:sz="0" w:space="0" w:color="auto"/>
        <w:bottom w:val="none" w:sz="0" w:space="0" w:color="auto"/>
        <w:right w:val="none" w:sz="0" w:space="0" w:color="auto"/>
      </w:divBdr>
    </w:div>
    <w:div w:id="1260330731">
      <w:bodyDiv w:val="1"/>
      <w:marLeft w:val="0"/>
      <w:marRight w:val="0"/>
      <w:marTop w:val="0"/>
      <w:marBottom w:val="0"/>
      <w:divBdr>
        <w:top w:val="none" w:sz="0" w:space="0" w:color="auto"/>
        <w:left w:val="none" w:sz="0" w:space="0" w:color="auto"/>
        <w:bottom w:val="none" w:sz="0" w:space="0" w:color="auto"/>
        <w:right w:val="none" w:sz="0" w:space="0" w:color="auto"/>
      </w:divBdr>
    </w:div>
    <w:div w:id="1279022834">
      <w:bodyDiv w:val="1"/>
      <w:marLeft w:val="0"/>
      <w:marRight w:val="0"/>
      <w:marTop w:val="0"/>
      <w:marBottom w:val="0"/>
      <w:divBdr>
        <w:top w:val="none" w:sz="0" w:space="0" w:color="auto"/>
        <w:left w:val="none" w:sz="0" w:space="0" w:color="auto"/>
        <w:bottom w:val="none" w:sz="0" w:space="0" w:color="auto"/>
        <w:right w:val="none" w:sz="0" w:space="0" w:color="auto"/>
      </w:divBdr>
    </w:div>
    <w:div w:id="1412116823">
      <w:bodyDiv w:val="1"/>
      <w:marLeft w:val="0"/>
      <w:marRight w:val="0"/>
      <w:marTop w:val="0"/>
      <w:marBottom w:val="0"/>
      <w:divBdr>
        <w:top w:val="none" w:sz="0" w:space="0" w:color="auto"/>
        <w:left w:val="none" w:sz="0" w:space="0" w:color="auto"/>
        <w:bottom w:val="none" w:sz="0" w:space="0" w:color="auto"/>
        <w:right w:val="none" w:sz="0" w:space="0" w:color="auto"/>
      </w:divBdr>
    </w:div>
    <w:div w:id="1690639781">
      <w:bodyDiv w:val="1"/>
      <w:marLeft w:val="0"/>
      <w:marRight w:val="0"/>
      <w:marTop w:val="0"/>
      <w:marBottom w:val="0"/>
      <w:divBdr>
        <w:top w:val="none" w:sz="0" w:space="0" w:color="auto"/>
        <w:left w:val="none" w:sz="0" w:space="0" w:color="auto"/>
        <w:bottom w:val="none" w:sz="0" w:space="0" w:color="auto"/>
        <w:right w:val="none" w:sz="0" w:space="0" w:color="auto"/>
      </w:divBdr>
    </w:div>
    <w:div w:id="1748648177">
      <w:bodyDiv w:val="1"/>
      <w:marLeft w:val="0"/>
      <w:marRight w:val="0"/>
      <w:marTop w:val="0"/>
      <w:marBottom w:val="0"/>
      <w:divBdr>
        <w:top w:val="none" w:sz="0" w:space="0" w:color="auto"/>
        <w:left w:val="none" w:sz="0" w:space="0" w:color="auto"/>
        <w:bottom w:val="none" w:sz="0" w:space="0" w:color="auto"/>
        <w:right w:val="none" w:sz="0" w:space="0" w:color="auto"/>
      </w:divBdr>
    </w:div>
    <w:div w:id="1803887215">
      <w:bodyDiv w:val="1"/>
      <w:marLeft w:val="0"/>
      <w:marRight w:val="0"/>
      <w:marTop w:val="0"/>
      <w:marBottom w:val="0"/>
      <w:divBdr>
        <w:top w:val="none" w:sz="0" w:space="0" w:color="auto"/>
        <w:left w:val="none" w:sz="0" w:space="0" w:color="auto"/>
        <w:bottom w:val="none" w:sz="0" w:space="0" w:color="auto"/>
        <w:right w:val="none" w:sz="0" w:space="0" w:color="auto"/>
      </w:divBdr>
    </w:div>
    <w:div w:id="1816411497">
      <w:bodyDiv w:val="1"/>
      <w:marLeft w:val="0"/>
      <w:marRight w:val="0"/>
      <w:marTop w:val="0"/>
      <w:marBottom w:val="0"/>
      <w:divBdr>
        <w:top w:val="none" w:sz="0" w:space="0" w:color="auto"/>
        <w:left w:val="none" w:sz="0" w:space="0" w:color="auto"/>
        <w:bottom w:val="none" w:sz="0" w:space="0" w:color="auto"/>
        <w:right w:val="none" w:sz="0" w:space="0" w:color="auto"/>
      </w:divBdr>
    </w:div>
    <w:div w:id="213293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hyperlink" Target="http://www.aceee.org/press/2009/04/us-doe-heats-new-energy-standards-home-furnaces"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1.eere.energy.gov/buildings/appliance_standards/pdfs/cacfurn_dfr.pdf" TargetMode="Externa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yperlink" Target="http://www.deeresources.com"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deeresources.com" TargetMode="External"/><Relationship Id="rId20" Type="http://schemas.openxmlformats.org/officeDocument/2006/relationships/hyperlink" Target="http://www.deeresources.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yperlink" Target="http://www.deeresources.com" TargetMode="External"/><Relationship Id="rId5" Type="http://schemas.openxmlformats.org/officeDocument/2006/relationships/webSettings" Target="webSettings.xml"/><Relationship Id="rId15" Type="http://schemas.openxmlformats.org/officeDocument/2006/relationships/footer" Target="footer8.xml"/><Relationship Id="rId23" Type="http://schemas.openxmlformats.org/officeDocument/2006/relationships/hyperlink" Target="http://www.deeresources.com" TargetMode="External"/><Relationship Id="rId28" Type="http://schemas.openxmlformats.org/officeDocument/2006/relationships/footer" Target="footer10.xml"/><Relationship Id="rId10" Type="http://schemas.openxmlformats.org/officeDocument/2006/relationships/footer" Target="footer3.xml"/><Relationship Id="rId19" Type="http://schemas.openxmlformats.org/officeDocument/2006/relationships/hyperlink" Target="http://www.deeresources.com"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hyperlink" Target="http://energy.gov/gc/downloads/furnace-standards-enforcement-policy-statement" TargetMode="External"/><Relationship Id="rId27" Type="http://schemas.openxmlformats.org/officeDocument/2006/relationships/footer" Target="footer9.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gdunn\Documents\Phasley\SCG%20Workpapers\SCG%20Work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D1ABA5-0516-4BA7-8F5E-6368CD800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SCG Workpaper.dotx</Template>
  <TotalTime>753</TotalTime>
  <Pages>17</Pages>
  <Words>4438</Words>
  <Characters>25303</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Specifications--CSI Format</vt:lpstr>
    </vt:vector>
  </TitlesOfParts>
  <Company>Sempra Energy Solutions</Company>
  <LinksUpToDate>false</LinksUpToDate>
  <CharactersWithSpaces>29682</CharactersWithSpaces>
  <SharedDoc>false</SharedDoc>
  <HLinks>
    <vt:vector size="156" baseType="variant">
      <vt:variant>
        <vt:i4>1703996</vt:i4>
      </vt:variant>
      <vt:variant>
        <vt:i4>158</vt:i4>
      </vt:variant>
      <vt:variant>
        <vt:i4>0</vt:i4>
      </vt:variant>
      <vt:variant>
        <vt:i4>5</vt:i4>
      </vt:variant>
      <vt:variant>
        <vt:lpwstr/>
      </vt:variant>
      <vt:variant>
        <vt:lpwstr>_Toc268008632</vt:lpwstr>
      </vt:variant>
      <vt:variant>
        <vt:i4>1703996</vt:i4>
      </vt:variant>
      <vt:variant>
        <vt:i4>152</vt:i4>
      </vt:variant>
      <vt:variant>
        <vt:i4>0</vt:i4>
      </vt:variant>
      <vt:variant>
        <vt:i4>5</vt:i4>
      </vt:variant>
      <vt:variant>
        <vt:lpwstr/>
      </vt:variant>
      <vt:variant>
        <vt:lpwstr>_Toc268008631</vt:lpwstr>
      </vt:variant>
      <vt:variant>
        <vt:i4>1703996</vt:i4>
      </vt:variant>
      <vt:variant>
        <vt:i4>143</vt:i4>
      </vt:variant>
      <vt:variant>
        <vt:i4>0</vt:i4>
      </vt:variant>
      <vt:variant>
        <vt:i4>5</vt:i4>
      </vt:variant>
      <vt:variant>
        <vt:lpwstr/>
      </vt:variant>
      <vt:variant>
        <vt:lpwstr>_Toc268008630</vt:lpwstr>
      </vt:variant>
      <vt:variant>
        <vt:i4>1769532</vt:i4>
      </vt:variant>
      <vt:variant>
        <vt:i4>137</vt:i4>
      </vt:variant>
      <vt:variant>
        <vt:i4>0</vt:i4>
      </vt:variant>
      <vt:variant>
        <vt:i4>5</vt:i4>
      </vt:variant>
      <vt:variant>
        <vt:lpwstr/>
      </vt:variant>
      <vt:variant>
        <vt:lpwstr>_Toc268008629</vt:lpwstr>
      </vt:variant>
      <vt:variant>
        <vt:i4>1114172</vt:i4>
      </vt:variant>
      <vt:variant>
        <vt:i4>128</vt:i4>
      </vt:variant>
      <vt:variant>
        <vt:i4>0</vt:i4>
      </vt:variant>
      <vt:variant>
        <vt:i4>5</vt:i4>
      </vt:variant>
      <vt:variant>
        <vt:lpwstr/>
      </vt:variant>
      <vt:variant>
        <vt:lpwstr>_Toc268008682</vt:lpwstr>
      </vt:variant>
      <vt:variant>
        <vt:i4>1114172</vt:i4>
      </vt:variant>
      <vt:variant>
        <vt:i4>122</vt:i4>
      </vt:variant>
      <vt:variant>
        <vt:i4>0</vt:i4>
      </vt:variant>
      <vt:variant>
        <vt:i4>5</vt:i4>
      </vt:variant>
      <vt:variant>
        <vt:lpwstr/>
      </vt:variant>
      <vt:variant>
        <vt:lpwstr>_Toc268008681</vt:lpwstr>
      </vt:variant>
      <vt:variant>
        <vt:i4>1114172</vt:i4>
      </vt:variant>
      <vt:variant>
        <vt:i4>116</vt:i4>
      </vt:variant>
      <vt:variant>
        <vt:i4>0</vt:i4>
      </vt:variant>
      <vt:variant>
        <vt:i4>5</vt:i4>
      </vt:variant>
      <vt:variant>
        <vt:lpwstr/>
      </vt:variant>
      <vt:variant>
        <vt:lpwstr>_Toc268008680</vt:lpwstr>
      </vt:variant>
      <vt:variant>
        <vt:i4>1966140</vt:i4>
      </vt:variant>
      <vt:variant>
        <vt:i4>110</vt:i4>
      </vt:variant>
      <vt:variant>
        <vt:i4>0</vt:i4>
      </vt:variant>
      <vt:variant>
        <vt:i4>5</vt:i4>
      </vt:variant>
      <vt:variant>
        <vt:lpwstr/>
      </vt:variant>
      <vt:variant>
        <vt:lpwstr>_Toc268008679</vt:lpwstr>
      </vt:variant>
      <vt:variant>
        <vt:i4>1966140</vt:i4>
      </vt:variant>
      <vt:variant>
        <vt:i4>104</vt:i4>
      </vt:variant>
      <vt:variant>
        <vt:i4>0</vt:i4>
      </vt:variant>
      <vt:variant>
        <vt:i4>5</vt:i4>
      </vt:variant>
      <vt:variant>
        <vt:lpwstr/>
      </vt:variant>
      <vt:variant>
        <vt:lpwstr>_Toc268008678</vt:lpwstr>
      </vt:variant>
      <vt:variant>
        <vt:i4>1966140</vt:i4>
      </vt:variant>
      <vt:variant>
        <vt:i4>98</vt:i4>
      </vt:variant>
      <vt:variant>
        <vt:i4>0</vt:i4>
      </vt:variant>
      <vt:variant>
        <vt:i4>5</vt:i4>
      </vt:variant>
      <vt:variant>
        <vt:lpwstr/>
      </vt:variant>
      <vt:variant>
        <vt:lpwstr>_Toc268008677</vt:lpwstr>
      </vt:variant>
      <vt:variant>
        <vt:i4>1966140</vt:i4>
      </vt:variant>
      <vt:variant>
        <vt:i4>92</vt:i4>
      </vt:variant>
      <vt:variant>
        <vt:i4>0</vt:i4>
      </vt:variant>
      <vt:variant>
        <vt:i4>5</vt:i4>
      </vt:variant>
      <vt:variant>
        <vt:lpwstr/>
      </vt:variant>
      <vt:variant>
        <vt:lpwstr>_Toc268008676</vt:lpwstr>
      </vt:variant>
      <vt:variant>
        <vt:i4>1966140</vt:i4>
      </vt:variant>
      <vt:variant>
        <vt:i4>86</vt:i4>
      </vt:variant>
      <vt:variant>
        <vt:i4>0</vt:i4>
      </vt:variant>
      <vt:variant>
        <vt:i4>5</vt:i4>
      </vt:variant>
      <vt:variant>
        <vt:lpwstr/>
      </vt:variant>
      <vt:variant>
        <vt:lpwstr>_Toc268008675</vt:lpwstr>
      </vt:variant>
      <vt:variant>
        <vt:i4>1966140</vt:i4>
      </vt:variant>
      <vt:variant>
        <vt:i4>80</vt:i4>
      </vt:variant>
      <vt:variant>
        <vt:i4>0</vt:i4>
      </vt:variant>
      <vt:variant>
        <vt:i4>5</vt:i4>
      </vt:variant>
      <vt:variant>
        <vt:lpwstr/>
      </vt:variant>
      <vt:variant>
        <vt:lpwstr>_Toc268008674</vt:lpwstr>
      </vt:variant>
      <vt:variant>
        <vt:i4>1966140</vt:i4>
      </vt:variant>
      <vt:variant>
        <vt:i4>74</vt:i4>
      </vt:variant>
      <vt:variant>
        <vt:i4>0</vt:i4>
      </vt:variant>
      <vt:variant>
        <vt:i4>5</vt:i4>
      </vt:variant>
      <vt:variant>
        <vt:lpwstr/>
      </vt:variant>
      <vt:variant>
        <vt:lpwstr>_Toc268008673</vt:lpwstr>
      </vt:variant>
      <vt:variant>
        <vt:i4>1966140</vt:i4>
      </vt:variant>
      <vt:variant>
        <vt:i4>68</vt:i4>
      </vt:variant>
      <vt:variant>
        <vt:i4>0</vt:i4>
      </vt:variant>
      <vt:variant>
        <vt:i4>5</vt:i4>
      </vt:variant>
      <vt:variant>
        <vt:lpwstr/>
      </vt:variant>
      <vt:variant>
        <vt:lpwstr>_Toc268008672</vt:lpwstr>
      </vt:variant>
      <vt:variant>
        <vt:i4>1966140</vt:i4>
      </vt:variant>
      <vt:variant>
        <vt:i4>62</vt:i4>
      </vt:variant>
      <vt:variant>
        <vt:i4>0</vt:i4>
      </vt:variant>
      <vt:variant>
        <vt:i4>5</vt:i4>
      </vt:variant>
      <vt:variant>
        <vt:lpwstr/>
      </vt:variant>
      <vt:variant>
        <vt:lpwstr>_Toc268008671</vt:lpwstr>
      </vt:variant>
      <vt:variant>
        <vt:i4>1966140</vt:i4>
      </vt:variant>
      <vt:variant>
        <vt:i4>56</vt:i4>
      </vt:variant>
      <vt:variant>
        <vt:i4>0</vt:i4>
      </vt:variant>
      <vt:variant>
        <vt:i4>5</vt:i4>
      </vt:variant>
      <vt:variant>
        <vt:lpwstr/>
      </vt:variant>
      <vt:variant>
        <vt:lpwstr>_Toc268008670</vt:lpwstr>
      </vt:variant>
      <vt:variant>
        <vt:i4>2031676</vt:i4>
      </vt:variant>
      <vt:variant>
        <vt:i4>50</vt:i4>
      </vt:variant>
      <vt:variant>
        <vt:i4>0</vt:i4>
      </vt:variant>
      <vt:variant>
        <vt:i4>5</vt:i4>
      </vt:variant>
      <vt:variant>
        <vt:lpwstr/>
      </vt:variant>
      <vt:variant>
        <vt:lpwstr>_Toc268008669</vt:lpwstr>
      </vt:variant>
      <vt:variant>
        <vt:i4>2031676</vt:i4>
      </vt:variant>
      <vt:variant>
        <vt:i4>44</vt:i4>
      </vt:variant>
      <vt:variant>
        <vt:i4>0</vt:i4>
      </vt:variant>
      <vt:variant>
        <vt:i4>5</vt:i4>
      </vt:variant>
      <vt:variant>
        <vt:lpwstr/>
      </vt:variant>
      <vt:variant>
        <vt:lpwstr>_Toc268008668</vt:lpwstr>
      </vt:variant>
      <vt:variant>
        <vt:i4>2031676</vt:i4>
      </vt:variant>
      <vt:variant>
        <vt:i4>38</vt:i4>
      </vt:variant>
      <vt:variant>
        <vt:i4>0</vt:i4>
      </vt:variant>
      <vt:variant>
        <vt:i4>5</vt:i4>
      </vt:variant>
      <vt:variant>
        <vt:lpwstr/>
      </vt:variant>
      <vt:variant>
        <vt:lpwstr>_Toc268008667</vt:lpwstr>
      </vt:variant>
      <vt:variant>
        <vt:i4>2031676</vt:i4>
      </vt:variant>
      <vt:variant>
        <vt:i4>32</vt:i4>
      </vt:variant>
      <vt:variant>
        <vt:i4>0</vt:i4>
      </vt:variant>
      <vt:variant>
        <vt:i4>5</vt:i4>
      </vt:variant>
      <vt:variant>
        <vt:lpwstr/>
      </vt:variant>
      <vt:variant>
        <vt:lpwstr>_Toc268008666</vt:lpwstr>
      </vt:variant>
      <vt:variant>
        <vt:i4>2031676</vt:i4>
      </vt:variant>
      <vt:variant>
        <vt:i4>26</vt:i4>
      </vt:variant>
      <vt:variant>
        <vt:i4>0</vt:i4>
      </vt:variant>
      <vt:variant>
        <vt:i4>5</vt:i4>
      </vt:variant>
      <vt:variant>
        <vt:lpwstr/>
      </vt:variant>
      <vt:variant>
        <vt:lpwstr>_Toc268008665</vt:lpwstr>
      </vt:variant>
      <vt:variant>
        <vt:i4>2031676</vt:i4>
      </vt:variant>
      <vt:variant>
        <vt:i4>20</vt:i4>
      </vt:variant>
      <vt:variant>
        <vt:i4>0</vt:i4>
      </vt:variant>
      <vt:variant>
        <vt:i4>5</vt:i4>
      </vt:variant>
      <vt:variant>
        <vt:lpwstr/>
      </vt:variant>
      <vt:variant>
        <vt:lpwstr>_Toc268008664</vt:lpwstr>
      </vt:variant>
      <vt:variant>
        <vt:i4>2031676</vt:i4>
      </vt:variant>
      <vt:variant>
        <vt:i4>14</vt:i4>
      </vt:variant>
      <vt:variant>
        <vt:i4>0</vt:i4>
      </vt:variant>
      <vt:variant>
        <vt:i4>5</vt:i4>
      </vt:variant>
      <vt:variant>
        <vt:lpwstr/>
      </vt:variant>
      <vt:variant>
        <vt:lpwstr>_Toc268008663</vt:lpwstr>
      </vt:variant>
      <vt:variant>
        <vt:i4>2031676</vt:i4>
      </vt:variant>
      <vt:variant>
        <vt:i4>8</vt:i4>
      </vt:variant>
      <vt:variant>
        <vt:i4>0</vt:i4>
      </vt:variant>
      <vt:variant>
        <vt:i4>5</vt:i4>
      </vt:variant>
      <vt:variant>
        <vt:lpwstr/>
      </vt:variant>
      <vt:variant>
        <vt:lpwstr>_Toc268008662</vt:lpwstr>
      </vt:variant>
      <vt:variant>
        <vt:i4>2031676</vt:i4>
      </vt:variant>
      <vt:variant>
        <vt:i4>2</vt:i4>
      </vt:variant>
      <vt:variant>
        <vt:i4>0</vt:i4>
      </vt:variant>
      <vt:variant>
        <vt:i4>5</vt:i4>
      </vt:variant>
      <vt:variant>
        <vt:lpwstr/>
      </vt:variant>
      <vt:variant>
        <vt:lpwstr>_Toc268008661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Specifications--CSI Format</dc:title>
  <dc:creator>kgdunn</dc:creator>
  <cp:lastModifiedBy>Paek, Chan U</cp:lastModifiedBy>
  <cp:revision>39</cp:revision>
  <cp:lastPrinted>2014-01-21T16:27:00Z</cp:lastPrinted>
  <dcterms:created xsi:type="dcterms:W3CDTF">2016-11-29T23:13:00Z</dcterms:created>
  <dcterms:modified xsi:type="dcterms:W3CDTF">2016-12-30T21:02:00Z</dcterms:modified>
</cp:coreProperties>
</file>